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61" w:rsidRDefault="00713161" w:rsidP="00713161">
      <w:pPr>
        <w:pStyle w:val="Ttulo4"/>
        <w:rPr>
          <w:rFonts w:ascii="Arial" w:hAnsi="Arial" w:cs="Arial"/>
        </w:rPr>
      </w:pPr>
    </w:p>
    <w:p w:rsidR="00713161" w:rsidRPr="00B701BE" w:rsidRDefault="00713161" w:rsidP="00713161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2017ko KREDITU GEHIGARRIAK.</w:t>
      </w:r>
      <w:r w:rsidRPr="00B701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BIGARREN</w:t>
      </w:r>
      <w:r w:rsidRPr="00B701BE">
        <w:rPr>
          <w:rFonts w:ascii="Arial" w:hAnsi="Arial" w:cs="Arial"/>
        </w:rPr>
        <w:t>ESPEDIENT</w:t>
      </w:r>
      <w:r>
        <w:rPr>
          <w:rFonts w:ascii="Arial" w:hAnsi="Arial" w:cs="Arial"/>
        </w:rPr>
        <w:t>E</w:t>
      </w:r>
      <w:r w:rsidRPr="00B701BE">
        <w:rPr>
          <w:rFonts w:ascii="Arial" w:hAnsi="Arial" w:cs="Arial"/>
        </w:rPr>
        <w:t>A</w:t>
      </w:r>
    </w:p>
    <w:p w:rsidR="00713161" w:rsidRPr="000F6186" w:rsidRDefault="00713161" w:rsidP="00713161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2º</w:t>
      </w:r>
      <w:r w:rsidRPr="000F6186">
        <w:rPr>
          <w:rFonts w:ascii="Arial" w:hAnsi="Arial" w:cs="Arial"/>
        </w:rPr>
        <w:t xml:space="preserve"> EXPEDIENTE DE CREDITOS ADICIONALES- 20</w:t>
      </w:r>
      <w:r>
        <w:rPr>
          <w:rFonts w:ascii="Arial" w:hAnsi="Arial" w:cs="Arial"/>
        </w:rPr>
        <w:t>17</w:t>
      </w:r>
      <w:r w:rsidRPr="000F6186">
        <w:rPr>
          <w:rFonts w:ascii="Arial" w:hAnsi="Arial" w:cs="Arial"/>
        </w:rPr>
        <w:t xml:space="preserve"> </w:t>
      </w:r>
    </w:p>
    <w:p w:rsidR="00713161" w:rsidRPr="000F6186" w:rsidRDefault="00713161" w:rsidP="00713161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713161" w:rsidRDefault="00713161" w:rsidP="00713161">
      <w:pPr>
        <w:jc w:val="center"/>
        <w:rPr>
          <w:rFonts w:ascii="Arial" w:hAnsi="Arial" w:cs="Arial"/>
          <w:b/>
          <w:sz w:val="20"/>
          <w:u w:val="single"/>
        </w:rPr>
      </w:pPr>
    </w:p>
    <w:p w:rsidR="00713161" w:rsidRPr="00D90C72" w:rsidRDefault="00713161" w:rsidP="0071316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Altxortegi gerakina. 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4.977.280,35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5.018.280,35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13161" w:rsidRPr="00D90C72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161" w:rsidRPr="00F34177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4.977.280,35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161" w:rsidRPr="00F34177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5.018.280,35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13161" w:rsidRPr="00F34177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</w:tbl>
    <w:p w:rsidR="00713161" w:rsidRPr="00D90C72" w:rsidRDefault="00713161" w:rsidP="00713161">
      <w:pPr>
        <w:rPr>
          <w:rFonts w:ascii="Arial" w:hAnsi="Arial" w:cs="Arial"/>
          <w:sz w:val="20"/>
        </w:rPr>
      </w:pPr>
    </w:p>
    <w:p w:rsidR="00713161" w:rsidRDefault="00713161" w:rsidP="00713161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713161" w:rsidRDefault="00713161" w:rsidP="00713161">
      <w:pPr>
        <w:jc w:val="center"/>
        <w:rPr>
          <w:rFonts w:ascii="Arial" w:hAnsi="Arial" w:cs="Arial"/>
          <w:b/>
          <w:sz w:val="20"/>
          <w:u w:val="single"/>
        </w:rPr>
      </w:pPr>
    </w:p>
    <w:p w:rsidR="00713161" w:rsidRPr="00D90C72" w:rsidRDefault="00713161" w:rsidP="0071316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1.1000.481.33.433.10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“Ciencia en Accion” elkarteari transferentzia / Transferencia a la Asociación “Ciencia en Acción”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13161" w:rsidRDefault="00713161" w:rsidP="00B35E2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13161" w:rsidRPr="00D90C72" w:rsidTr="00B35E28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161" w:rsidRPr="00D90C72" w:rsidRDefault="00713161" w:rsidP="00B35E28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161" w:rsidRPr="009F4D9C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161" w:rsidRPr="009F4D9C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13161" w:rsidRPr="009F4D9C" w:rsidRDefault="00713161" w:rsidP="00B35E2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41.000.00</w:t>
            </w:r>
          </w:p>
        </w:tc>
      </w:tr>
    </w:tbl>
    <w:p w:rsidR="00713161" w:rsidRPr="00D90C72" w:rsidRDefault="00713161" w:rsidP="00713161">
      <w:pPr>
        <w:jc w:val="both"/>
        <w:rPr>
          <w:rFonts w:ascii="Arial" w:hAnsi="Arial" w:cs="Arial"/>
          <w:sz w:val="20"/>
        </w:rPr>
      </w:pPr>
    </w:p>
    <w:p w:rsidR="00713161" w:rsidRPr="00D90C72" w:rsidRDefault="00713161" w:rsidP="00713161">
      <w:pPr>
        <w:jc w:val="both"/>
        <w:rPr>
          <w:rFonts w:ascii="Arial" w:hAnsi="Arial" w:cs="Arial"/>
          <w:sz w:val="20"/>
        </w:rPr>
      </w:pPr>
    </w:p>
    <w:p w:rsidR="00713161" w:rsidRDefault="00713161" w:rsidP="00713161">
      <w:pPr>
        <w:jc w:val="both"/>
        <w:rPr>
          <w:rFonts w:ascii="Arial" w:hAnsi="Arial" w:cs="Arial"/>
          <w:sz w:val="20"/>
        </w:rPr>
        <w:sectPr w:rsidR="00713161" w:rsidSect="00580283">
          <w:footerReference w:type="default" r:id="rId6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713161" w:rsidRPr="00D90C72" w:rsidRDefault="00713161" w:rsidP="0071316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KONTUHARTZAILETZAREN TXO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TENA</w:t>
            </w: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Zigor Eguia Lejardi, Eibarko Udaleko Kontuhartzailea naizen honek, Udal </w:t>
            </w:r>
            <w:r>
              <w:rPr>
                <w:rFonts w:ascii="Arial" w:hAnsi="Arial" w:cs="Arial"/>
                <w:sz w:val="22"/>
                <w:szCs w:val="22"/>
              </w:rPr>
              <w:t>Bigarren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Kreditu Gehigarriaren </w:t>
            </w:r>
            <w:r>
              <w:rPr>
                <w:rFonts w:ascii="Arial" w:hAnsi="Arial" w:cs="Arial"/>
                <w:sz w:val="22"/>
                <w:szCs w:val="22"/>
              </w:rPr>
              <w:t>bigarren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espedie</w:t>
            </w:r>
            <w:r w:rsidRPr="00FA48CF">
              <w:rPr>
                <w:rFonts w:ascii="Arial" w:hAnsi="Arial" w:cs="Arial"/>
                <w:sz w:val="22"/>
                <w:szCs w:val="22"/>
              </w:rPr>
              <w:t>n</w:t>
            </w:r>
            <w:r w:rsidRPr="00FA48CF">
              <w:rPr>
                <w:rFonts w:ascii="Arial" w:hAnsi="Arial" w:cs="Arial"/>
                <w:sz w:val="22"/>
                <w:szCs w:val="22"/>
              </w:rPr>
              <w:t>teari buruz honako hau esan behar dut: egin behar diren eragiketak egin daitezkeela, Gipuzkoako Lurralde Historikoko Toki Erakundeen aurrekontuei buruzko abenduaren 19ko 21/2003 Foru Arauaren 31.a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tikuluak dioena bete egiten delako tramitazioari dagokionez, eta finantzaketarako behar adina baliabide d</w:t>
            </w:r>
            <w:r w:rsidRPr="00FA48CF">
              <w:rPr>
                <w:rFonts w:ascii="Arial" w:hAnsi="Arial" w:cs="Arial"/>
                <w:sz w:val="22"/>
                <w:szCs w:val="22"/>
              </w:rPr>
              <w:t>a</w:t>
            </w:r>
            <w:r w:rsidRPr="00FA48CF">
              <w:rPr>
                <w:rFonts w:ascii="Arial" w:hAnsi="Arial" w:cs="Arial"/>
                <w:sz w:val="22"/>
                <w:szCs w:val="22"/>
              </w:rPr>
              <w:t>goelako.</w:t>
            </w: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En relación con el </w:t>
            </w:r>
            <w:r>
              <w:rPr>
                <w:rFonts w:ascii="Arial" w:hAnsi="Arial" w:cs="Arial"/>
                <w:sz w:val="22"/>
                <w:szCs w:val="22"/>
              </w:rPr>
              <w:t>Segundo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Expediente de Créditos Adicionales del Presupuesto Mun</w:t>
            </w:r>
            <w:r w:rsidRPr="00FA48CF">
              <w:rPr>
                <w:rFonts w:ascii="Arial" w:hAnsi="Arial" w:cs="Arial"/>
                <w:sz w:val="22"/>
                <w:szCs w:val="22"/>
              </w:rPr>
              <w:t>i</w:t>
            </w:r>
            <w:r w:rsidRPr="00FA48CF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FA48CF">
              <w:rPr>
                <w:rFonts w:ascii="Arial" w:hAnsi="Arial" w:cs="Arial"/>
                <w:sz w:val="22"/>
                <w:szCs w:val="22"/>
              </w:rPr>
              <w:t>o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rrespondientes pueden llevarse a cabo al cumplirse con los requisitos establecidos en el artículo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FA48CF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FA48CF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FA48CF">
              <w:rPr>
                <w:rFonts w:ascii="Arial" w:hAnsi="Arial" w:cs="Arial"/>
                <w:sz w:val="22"/>
                <w:szCs w:val="22"/>
              </w:rPr>
              <w:t>e</w:t>
            </w:r>
            <w:r w:rsidRPr="00FA48CF">
              <w:rPr>
                <w:rFonts w:ascii="Arial" w:hAnsi="Arial" w:cs="Arial"/>
                <w:sz w:val="22"/>
                <w:szCs w:val="22"/>
              </w:rPr>
              <w:t>supuestaria de las Entidades Locales del Territorio Histórico de Gipuzkoa en cuanto a su tramitación se refiere, y contar con recu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FA48CF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FA48CF" w:rsidRDefault="00713161" w:rsidP="00B35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713161" w:rsidRPr="00FA48CF" w:rsidRDefault="00713161" w:rsidP="00B35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3161" w:rsidRPr="00D90C72" w:rsidRDefault="00713161" w:rsidP="00713161">
      <w:pPr>
        <w:rPr>
          <w:rFonts w:ascii="Arial" w:hAnsi="Arial" w:cs="Arial"/>
          <w:sz w:val="20"/>
        </w:rPr>
      </w:pPr>
    </w:p>
    <w:p w:rsidR="00713161" w:rsidRPr="00614C95" w:rsidRDefault="00713161" w:rsidP="00713161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713161" w:rsidRPr="00614C95" w:rsidRDefault="00713161" w:rsidP="00713161">
      <w:pPr>
        <w:jc w:val="both"/>
        <w:rPr>
          <w:rFonts w:ascii="Arial" w:hAnsi="Arial" w:cs="Arial"/>
          <w:sz w:val="22"/>
          <w:szCs w:val="22"/>
        </w:rPr>
      </w:pPr>
    </w:p>
    <w:p w:rsidR="00713161" w:rsidRPr="00614C95" w:rsidRDefault="00713161" w:rsidP="00713161">
      <w:pPr>
        <w:jc w:val="both"/>
        <w:rPr>
          <w:rFonts w:ascii="Arial" w:hAnsi="Arial" w:cs="Arial"/>
          <w:sz w:val="22"/>
          <w:szCs w:val="22"/>
        </w:rPr>
      </w:pPr>
    </w:p>
    <w:p w:rsidR="00713161" w:rsidRDefault="00713161" w:rsidP="00713161">
      <w:pPr>
        <w:rPr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pStyle w:val="Ttulo1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DITU GEHIGARRIEN </w:t>
            </w:r>
            <w:r>
              <w:rPr>
                <w:rFonts w:ascii="Arial" w:hAnsi="Arial" w:cs="Arial"/>
                <w:b/>
                <w:sz w:val="22"/>
                <w:u w:val="single"/>
              </w:rPr>
              <w:t>BIGARREN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SEGUNDO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</w:t>
            </w: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Gipuzkoako Lurralde Historikoko Toki Erakundeen aurrekontuei buruzko 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>duaren 19ko 21/2003 Foru Arauaren 3</w:t>
            </w:r>
            <w:r>
              <w:rPr>
                <w:rFonts w:ascii="Arial" w:hAnsi="Arial" w:cs="Arial"/>
                <w:sz w:val="22"/>
              </w:rPr>
              <w:t>4.artikuluak dioenari jarraituz; eta</w:t>
            </w:r>
            <w:r w:rsidRPr="00413563">
              <w:rPr>
                <w:rFonts w:ascii="Arial" w:hAnsi="Arial" w:cs="Arial"/>
                <w:sz w:val="22"/>
              </w:rPr>
              <w:t xml:space="preserve"> ondoren 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</w:t>
            </w:r>
            <w:r>
              <w:rPr>
                <w:rFonts w:ascii="Arial" w:hAnsi="Arial" w:cs="Arial"/>
                <w:sz w:val="22"/>
              </w:rPr>
              <w:t>uko</w:t>
            </w:r>
            <w:r w:rsidRPr="00413563">
              <w:rPr>
                <w:rFonts w:ascii="Arial" w:hAnsi="Arial" w:cs="Arial"/>
                <w:sz w:val="22"/>
              </w:rPr>
              <w:t xml:space="preserve"> diren</w:t>
            </w:r>
            <w:r>
              <w:rPr>
                <w:rFonts w:ascii="Arial" w:hAnsi="Arial" w:cs="Arial"/>
                <w:sz w:val="22"/>
              </w:rPr>
              <w:t xml:space="preserve"> kontzeptu hauei dagozkien</w:t>
            </w:r>
            <w:r w:rsidRPr="00413563">
              <w:rPr>
                <w:rFonts w:ascii="Arial" w:hAnsi="Arial" w:cs="Arial"/>
                <w:sz w:val="22"/>
              </w:rPr>
              <w:t xml:space="preserve"> 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 egiteko premia eta larritasuna 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 hauxe proposatzen dut: Udal 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rrekontuko Kreditu Gehigarrien </w:t>
            </w:r>
            <w:r>
              <w:rPr>
                <w:rFonts w:ascii="Arial" w:hAnsi="Arial" w:cs="Arial"/>
                <w:sz w:val="22"/>
              </w:rPr>
              <w:t xml:space="preserve">bigarren </w:t>
            </w:r>
            <w:r w:rsidRPr="00413563">
              <w:rPr>
                <w:rFonts w:ascii="Arial" w:hAnsi="Arial" w:cs="Arial"/>
                <w:sz w:val="22"/>
              </w:rPr>
              <w:t>espedientea aipatzen diren zenbatekoetan onartzea, 20</w:t>
            </w:r>
            <w:r>
              <w:rPr>
                <w:rFonts w:ascii="Arial" w:hAnsi="Arial" w:cs="Arial"/>
                <w:sz w:val="22"/>
              </w:rPr>
              <w:t>17ko</w:t>
            </w:r>
            <w:r w:rsidRPr="00413563">
              <w:rPr>
                <w:rFonts w:ascii="Arial" w:hAnsi="Arial" w:cs="Arial"/>
                <w:sz w:val="22"/>
              </w:rPr>
              <w:t xml:space="preserve"> udal aurrekontuaren </w:t>
            </w:r>
            <w:r>
              <w:rPr>
                <w:rFonts w:ascii="Arial" w:hAnsi="Arial" w:cs="Arial"/>
                <w:sz w:val="22"/>
              </w:rPr>
              <w:t xml:space="preserve">partidetan </w:t>
            </w:r>
            <w:r w:rsidRPr="00413563">
              <w:rPr>
                <w:rFonts w:ascii="Arial" w:hAnsi="Arial" w:cs="Arial"/>
                <w:sz w:val="22"/>
              </w:rPr>
              <w:t>izendatutako kredituak ez baitira behar 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koak.</w:t>
            </w: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>cales del Territorio Histórico de Gipuzkoa,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17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 xml:space="preserve">ción del </w:t>
            </w:r>
            <w:r>
              <w:rPr>
                <w:rFonts w:ascii="Arial" w:hAnsi="Arial" w:cs="Arial"/>
                <w:sz w:val="22"/>
              </w:rPr>
              <w:t>Segundo</w:t>
            </w:r>
            <w:r w:rsidRPr="00413563">
              <w:rPr>
                <w:rFonts w:ascii="Arial" w:hAnsi="Arial" w:cs="Arial"/>
                <w:sz w:val="22"/>
              </w:rPr>
              <w:t xml:space="preserve">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713161" w:rsidRPr="00413563" w:rsidRDefault="00713161" w:rsidP="00B35E2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1.000</w:t>
            </w:r>
            <w:proofErr w:type="gramStart"/>
            <w:r>
              <w:rPr>
                <w:rFonts w:ascii="Arial" w:hAnsi="Arial" w:cs="Arial"/>
                <w:sz w:val="20"/>
              </w:rPr>
              <w:t>,00</w:t>
            </w:r>
            <w:proofErr w:type="gramEnd"/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2704DC">
              <w:rPr>
                <w:rFonts w:ascii="Arial" w:hAnsi="Arial" w:cs="Arial"/>
                <w:sz w:val="20"/>
                <w:u w:val="single"/>
              </w:rPr>
              <w:t>41.000,00</w:t>
            </w:r>
          </w:p>
        </w:tc>
        <w:tc>
          <w:tcPr>
            <w:tcW w:w="4751" w:type="dxa"/>
          </w:tcPr>
          <w:p w:rsidR="00713161" w:rsidRPr="002704DC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</w:tbl>
    <w:p w:rsidR="00713161" w:rsidRPr="00D90C72" w:rsidRDefault="00713161" w:rsidP="00713161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4E67FA" w:rsidRDefault="00713161" w:rsidP="00B35E28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713161" w:rsidRPr="004E67FA" w:rsidRDefault="00713161" w:rsidP="00B35E28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4E67FA" w:rsidRDefault="00713161" w:rsidP="00B35E28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713161" w:rsidRPr="004E67FA" w:rsidRDefault="00713161" w:rsidP="00B35E28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4E67FA" w:rsidRDefault="00713161" w:rsidP="00B35E28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713161" w:rsidRPr="004E67FA" w:rsidRDefault="00713161" w:rsidP="00B35E28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71316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4E67FA" w:rsidRDefault="00713161" w:rsidP="00B35E28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713161" w:rsidRPr="004E67FA" w:rsidRDefault="00713161" w:rsidP="00B35E28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713161" w:rsidRDefault="00713161" w:rsidP="00713161"/>
    <w:p w:rsidR="00713161" w:rsidRPr="00D90C72" w:rsidRDefault="00713161" w:rsidP="00713161">
      <w:pPr>
        <w:rPr>
          <w:rFonts w:ascii="Arial" w:hAnsi="Arial" w:cs="Arial"/>
          <w:sz w:val="20"/>
        </w:rPr>
      </w:pPr>
    </w:p>
    <w:p w:rsidR="00713161" w:rsidRPr="00044AF2" w:rsidRDefault="00713161" w:rsidP="00713161">
      <w:r>
        <w:br w:type="page"/>
      </w: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044AF2" w:rsidRDefault="00713161" w:rsidP="00B35E2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044AF2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044AF2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713161" w:rsidRPr="00044AF2" w:rsidRDefault="00713161" w:rsidP="00B35E2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044AF2" w:rsidRDefault="00713161" w:rsidP="00B35E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13161" w:rsidRDefault="00713161" w:rsidP="00713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RPr="005A5C49" w:rsidTr="00B35E28">
        <w:tc>
          <w:tcPr>
            <w:tcW w:w="487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2017ko Udal Aurrekontuko Kreditu Gehigarrien bigarren espedientea</w:t>
            </w:r>
          </w:p>
        </w:tc>
        <w:tc>
          <w:tcPr>
            <w:tcW w:w="475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Segundo </w:t>
            </w: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expediente de Créditos Adicionales del Presupuesto Municipal 2017</w:t>
            </w:r>
          </w:p>
        </w:tc>
      </w:tr>
      <w:tr w:rsidR="00713161" w:rsidRPr="005A5C49" w:rsidTr="00B35E28">
        <w:tc>
          <w:tcPr>
            <w:tcW w:w="4871" w:type="dxa"/>
          </w:tcPr>
          <w:p w:rsidR="00713161" w:rsidRPr="005A5C49" w:rsidRDefault="00713161" w:rsidP="00B35E2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713161" w:rsidRPr="005A5C49" w:rsidRDefault="00713161" w:rsidP="00B35E2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713161" w:rsidRPr="005A5C49" w:rsidTr="00B35E28">
        <w:tc>
          <w:tcPr>
            <w:tcW w:w="4871" w:type="dxa"/>
          </w:tcPr>
          <w:p w:rsidR="00713161" w:rsidRPr="005A5C49" w:rsidRDefault="00713161" w:rsidP="00B35E2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5A5C49">
              <w:rPr>
                <w:rFonts w:cs="Arial"/>
                <w:szCs w:val="22"/>
              </w:rPr>
              <w:t>2017. jardunaldiko Udal Aurrekontuari dagozkion partidetan izendatutako kredituak urriak izatera, ondoren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713161" w:rsidRPr="005A5C49" w:rsidRDefault="00713161" w:rsidP="00B35E2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5A5C49">
              <w:rPr>
                <w:rFonts w:cs="Arial"/>
                <w:szCs w:val="22"/>
              </w:rPr>
              <w:t xml:space="preserve">Al ser insuficientes los créditos consignados en las correspondientes partidas del Presupuesto Municipal </w:t>
            </w:r>
            <w:r>
              <w:rPr>
                <w:rFonts w:cs="Arial"/>
                <w:szCs w:val="22"/>
              </w:rPr>
              <w:t>d</w:t>
            </w:r>
            <w:r w:rsidRPr="005A5C49">
              <w:rPr>
                <w:rFonts w:cs="Arial"/>
                <w:szCs w:val="22"/>
              </w:rPr>
              <w:t>el Ejercicio 2017; se considera la necesidad y urgencia de los gastos a realizar en los conceptos que se detallan.</w:t>
            </w:r>
          </w:p>
        </w:tc>
      </w:tr>
      <w:tr w:rsidR="00713161" w:rsidRPr="005A5C49" w:rsidTr="00B35E28">
        <w:tc>
          <w:tcPr>
            <w:tcW w:w="487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Udal Aurrekontuaren kreditu gehigarrien </w:t>
            </w:r>
            <w:r>
              <w:rPr>
                <w:rFonts w:ascii="Arial" w:hAnsi="Arial" w:cs="Arial"/>
                <w:sz w:val="22"/>
                <w:szCs w:val="22"/>
              </w:rPr>
              <w:t>bigarren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espedientearen inguruan alkateak egin duen proposamena eta, espediente horren inguruan, kontu-hartzaileak egindako txostena ikusita,</w:t>
            </w:r>
          </w:p>
        </w:tc>
        <w:tc>
          <w:tcPr>
            <w:tcW w:w="475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Vistos, la propuesta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r w:rsidRPr="005A5C49">
              <w:rPr>
                <w:rFonts w:ascii="Arial" w:hAnsi="Arial" w:cs="Arial"/>
                <w:sz w:val="22"/>
                <w:szCs w:val="22"/>
              </w:rPr>
              <w:t>expediente de créditos adicionales del Presupue</w:t>
            </w:r>
            <w:r>
              <w:rPr>
                <w:rFonts w:ascii="Arial" w:hAnsi="Arial" w:cs="Arial"/>
                <w:sz w:val="22"/>
                <w:szCs w:val="22"/>
              </w:rPr>
              <w:t>sto Municipal y el informe del i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nterventor sobre el expediente, </w:t>
            </w:r>
          </w:p>
        </w:tc>
      </w:tr>
      <w:tr w:rsidR="00713161" w:rsidRPr="005A5C49" w:rsidTr="00B35E28">
        <w:tc>
          <w:tcPr>
            <w:tcW w:w="487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Kontu Ogasun eta Ondare Lan batzordeak proposamena bozkatu zuen. Hona hemen bozketaren emaitza: aldeko botoak, 4 (Miguel de los Toyos, Alberto Albistegui, Patricia Arrizabalaga eta Jon Iraola); abstentzioak, 5 (Gorka Errasti, </w:t>
            </w:r>
            <w:r>
              <w:rPr>
                <w:rFonts w:ascii="Arial" w:hAnsi="Arial" w:cs="Arial"/>
                <w:sz w:val="22"/>
                <w:szCs w:val="22"/>
              </w:rPr>
              <w:t xml:space="preserve">Leire Abanzabalegi, 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Elena Ibañez, Eva Juez eta, Mª Jesus Aguirre). Horren ondorioz, Udal Aurrekontuko Kreditu Gehigarrien </w:t>
            </w:r>
            <w:r>
              <w:rPr>
                <w:rFonts w:ascii="Arial" w:hAnsi="Arial" w:cs="Arial"/>
                <w:sz w:val="22"/>
                <w:szCs w:val="22"/>
              </w:rPr>
              <w:t xml:space="preserve">Bigarren </w:t>
            </w:r>
            <w:r w:rsidRPr="005A5C49">
              <w:rPr>
                <w:rFonts w:ascii="Arial" w:hAnsi="Arial" w:cs="Arial"/>
                <w:sz w:val="22"/>
                <w:szCs w:val="22"/>
              </w:rPr>
              <w:t>espedientea onartzea eskatu dio Osoko bilkurari, honako zenbateko hauek dituena:</w:t>
            </w:r>
          </w:p>
        </w:tc>
        <w:tc>
          <w:tcPr>
            <w:tcW w:w="4751" w:type="dxa"/>
          </w:tcPr>
          <w:p w:rsidR="00713161" w:rsidRPr="005A5C49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>A continuación la comisión de trabajo de Cuentas, Hacienda y Patrimonio procede a la votación de la propuesta con los siguientes resultados: 4 votos a favor (Miguel de los Toyos, Alberto Albístegui, Patricia Arrizabalaga, y Jon Iraola)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y 5 abstenciones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(Gorka Errasti, </w:t>
            </w:r>
            <w:r>
              <w:rPr>
                <w:rFonts w:ascii="Arial" w:hAnsi="Arial" w:cs="Arial"/>
                <w:sz w:val="22"/>
                <w:szCs w:val="22"/>
              </w:rPr>
              <w:t>Leire Abanzabalegi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, Elena Ibañez, Eva Juez y, Mª Jesus Aguirre), 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>Segundo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expediente de Créditos Adicionales del Presupuesto Municipal cifrado en las siguientes cantidades:</w:t>
            </w:r>
          </w:p>
        </w:tc>
      </w:tr>
    </w:tbl>
    <w:p w:rsidR="00713161" w:rsidRDefault="00713161" w:rsidP="00713161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1.000</w:t>
            </w:r>
            <w:proofErr w:type="gramStart"/>
            <w:r>
              <w:rPr>
                <w:rFonts w:ascii="Arial" w:hAnsi="Arial" w:cs="Arial"/>
                <w:sz w:val="20"/>
              </w:rPr>
              <w:t>,00</w:t>
            </w:r>
            <w:proofErr w:type="gramEnd"/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2704DC">
              <w:rPr>
                <w:rFonts w:ascii="Arial" w:hAnsi="Arial" w:cs="Arial"/>
                <w:sz w:val="20"/>
                <w:u w:val="single"/>
              </w:rPr>
              <w:t>41.000,00</w:t>
            </w:r>
          </w:p>
        </w:tc>
        <w:tc>
          <w:tcPr>
            <w:tcW w:w="4751" w:type="dxa"/>
          </w:tcPr>
          <w:p w:rsidR="00713161" w:rsidRPr="002704DC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</w:tbl>
    <w:p w:rsidR="00713161" w:rsidRPr="00D90C72" w:rsidRDefault="00713161" w:rsidP="00713161">
      <w:pPr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713161" w:rsidRPr="004201C9" w:rsidTr="00B35E28">
        <w:tc>
          <w:tcPr>
            <w:tcW w:w="4930" w:type="dxa"/>
          </w:tcPr>
          <w:p w:rsidR="00713161" w:rsidRPr="004201C9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0" w:type="dxa"/>
          </w:tcPr>
          <w:p w:rsidR="00713161" w:rsidRPr="004201C9" w:rsidRDefault="00713161" w:rsidP="00B35E28">
            <w:pPr>
              <w:rPr>
                <w:rFonts w:ascii="Arial" w:hAnsi="Arial" w:cs="Arial"/>
                <w:sz w:val="20"/>
              </w:rPr>
            </w:pPr>
          </w:p>
        </w:tc>
      </w:tr>
      <w:tr w:rsidR="00713161" w:rsidRPr="004201C9" w:rsidTr="00B35E28">
        <w:tc>
          <w:tcPr>
            <w:tcW w:w="493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Kreditu Gehigarrien espediente hau Gipuzkoako Aldizkari Ofizialean eman behar da argitara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201C9">
              <w:rPr>
                <w:rFonts w:ascii="Arial" w:hAnsi="Arial" w:cs="Arial"/>
                <w:sz w:val="22"/>
                <w:szCs w:val="22"/>
              </w:rPr>
              <w:t xml:space="preserve"> jendea jakinaren gainean gera dadin.</w:t>
            </w:r>
          </w:p>
        </w:tc>
        <w:tc>
          <w:tcPr>
            <w:tcW w:w="481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información pública.</w:t>
            </w:r>
          </w:p>
        </w:tc>
      </w:tr>
      <w:tr w:rsidR="00713161" w:rsidRPr="004201C9" w:rsidTr="00B35E28">
        <w:tc>
          <w:tcPr>
            <w:tcW w:w="493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61" w:rsidRPr="004201C9" w:rsidTr="00B35E28">
        <w:tc>
          <w:tcPr>
            <w:tcW w:w="493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713161" w:rsidRPr="004201C9" w:rsidRDefault="00713161" w:rsidP="00B35E2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3161" w:rsidRPr="00423BBE" w:rsidRDefault="00713161" w:rsidP="00713161">
      <w:pPr>
        <w:jc w:val="both"/>
      </w:pPr>
      <w:r w:rsidRPr="00C95CEB">
        <w:rPr>
          <w:sz w:val="18"/>
          <w:szCs w:val="18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Udalbatzak,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7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uztailaren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26an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egindako </w:t>
            </w:r>
            <w:r w:rsidRPr="00423BBE">
              <w:rPr>
                <w:rFonts w:ascii="Arial" w:hAnsi="Arial"/>
                <w:sz w:val="20"/>
              </w:rPr>
              <w:t>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 xml:space="preserve">kuran Udal Aurrekontuko Kreditu Gehigarrien </w:t>
            </w:r>
            <w:r>
              <w:rPr>
                <w:rFonts w:ascii="Arial" w:hAnsi="Arial"/>
                <w:sz w:val="20"/>
              </w:rPr>
              <w:t>Bigarren</w:t>
            </w:r>
            <w:r w:rsidRPr="00423BBE">
              <w:rPr>
                <w:rFonts w:ascii="Arial" w:hAnsi="Arial"/>
                <w:sz w:val="20"/>
              </w:rPr>
              <w:t xml:space="preserve"> espedientea onartzea 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 zuen.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Pleno</w:t>
            </w:r>
            <w:r>
              <w:rPr>
                <w:rFonts w:ascii="Arial" w:hAnsi="Arial"/>
                <w:sz w:val="20"/>
              </w:rPr>
              <w:t xml:space="preserve"> Municipal</w:t>
            </w:r>
            <w:r w:rsidRPr="00423BBE">
              <w:rPr>
                <w:rFonts w:ascii="Arial" w:hAnsi="Arial"/>
                <w:sz w:val="20"/>
              </w:rPr>
              <w:t>, 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>
              <w:rPr>
                <w:rFonts w:ascii="Arial" w:hAnsi="Arial"/>
                <w:sz w:val="20"/>
              </w:rPr>
              <w:t xml:space="preserve"> 26 de julio de 2017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aprobar </w:t>
            </w:r>
            <w:r w:rsidRPr="00423BBE">
              <w:rPr>
                <w:rFonts w:ascii="Arial" w:hAnsi="Arial"/>
                <w:sz w:val="20"/>
              </w:rPr>
              <w:t xml:space="preserve">el </w:t>
            </w:r>
            <w:r>
              <w:rPr>
                <w:rFonts w:ascii="Arial" w:hAnsi="Arial"/>
                <w:sz w:val="20"/>
              </w:rPr>
              <w:t>Segundo</w:t>
            </w:r>
            <w:r w:rsidRPr="00423BBE">
              <w:rPr>
                <w:rFonts w:ascii="Arial" w:hAnsi="Arial"/>
                <w:sz w:val="20"/>
              </w:rPr>
              <w:t xml:space="preserve"> 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bost eguneko epean,</w:t>
            </w:r>
            <w:r>
              <w:rPr>
                <w:rFonts w:ascii="Arial" w:hAnsi="Arial"/>
                <w:sz w:val="20"/>
              </w:rPr>
              <w:t xml:space="preserve"> honako</w:t>
            </w:r>
            <w:r w:rsidRPr="00423BBE">
              <w:rPr>
                <w:rFonts w:ascii="Arial" w:hAnsi="Arial"/>
                <w:sz w:val="20"/>
              </w:rPr>
              <w:t xml:space="preserve"> iragarki hau Gipuzkoako Aldizkari Ofizialean argitaratu eta biharamunetik zenbatuta</w:t>
            </w:r>
            <w:r>
              <w:rPr>
                <w:rFonts w:ascii="Arial" w:hAnsi="Arial"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epe horretan </w:t>
            </w:r>
            <w:r w:rsidRPr="00423BBE">
              <w:rPr>
                <w:rFonts w:ascii="Arial" w:hAnsi="Arial"/>
                <w:sz w:val="20"/>
              </w:rPr>
              <w:t>interesatuek</w:t>
            </w:r>
            <w:r>
              <w:rPr>
                <w:rFonts w:ascii="Arial" w:hAnsi="Arial"/>
                <w:sz w:val="20"/>
              </w:rPr>
              <w:t>, Espedientea</w:t>
            </w:r>
            <w:r w:rsidRPr="00423BBE">
              <w:rPr>
                <w:rFonts w:ascii="Arial" w:hAnsi="Arial"/>
                <w:sz w:val="20"/>
              </w:rPr>
              <w:t xml:space="preserve"> aztertu eta Udalari err</w:t>
            </w:r>
            <w:r w:rsidRPr="00423BBE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klamazioak aurkeztu ahal izango dituzte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</w:t>
            </w:r>
            <w:r w:rsidRPr="00423BBE">
              <w:rPr>
                <w:rFonts w:ascii="Arial" w:hAnsi="Arial"/>
                <w:sz w:val="20"/>
              </w:rPr>
              <w:t>expuesto 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 xml:space="preserve">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</w:t>
            </w:r>
            <w:r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 xml:space="preserve"> a partir del siguiente al de </w:t>
            </w:r>
            <w:r>
              <w:rPr>
                <w:rFonts w:ascii="Arial" w:hAnsi="Arial"/>
                <w:sz w:val="20"/>
              </w:rPr>
              <w:t xml:space="preserve">la </w:t>
            </w:r>
            <w:r w:rsidRPr="00423BBE">
              <w:rPr>
                <w:rFonts w:ascii="Arial" w:hAnsi="Arial"/>
                <w:sz w:val="20"/>
              </w:rPr>
              <w:t>inserción</w:t>
            </w:r>
            <w:r>
              <w:rPr>
                <w:rFonts w:ascii="Arial" w:hAnsi="Arial"/>
                <w:sz w:val="20"/>
              </w:rPr>
              <w:t xml:space="preserve"> del presente anuncio </w:t>
            </w:r>
            <w:r w:rsidRPr="00423BBE">
              <w:rPr>
                <w:rFonts w:ascii="Arial" w:hAnsi="Arial"/>
                <w:sz w:val="20"/>
              </w:rPr>
              <w:t>en el Boletín Oficial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</w:t>
            </w:r>
            <w:r>
              <w:rPr>
                <w:rFonts w:ascii="Arial" w:hAnsi="Arial"/>
                <w:sz w:val="20"/>
              </w:rPr>
              <w:t xml:space="preserve">; 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Udal Aurrekontuko Kreditu Gehigarrien </w:t>
            </w:r>
            <w:r>
              <w:rPr>
                <w:rFonts w:ascii="Arial" w:hAnsi="Arial"/>
                <w:sz w:val="20"/>
              </w:rPr>
              <w:t>Bigarren</w:t>
            </w:r>
            <w:r w:rsidRPr="00423BBE">
              <w:rPr>
                <w:rFonts w:ascii="Arial" w:hAnsi="Arial"/>
                <w:sz w:val="20"/>
              </w:rPr>
              <w:t xml:space="preserve"> 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</w:t>
            </w:r>
            <w:r>
              <w:rPr>
                <w:rFonts w:ascii="Arial" w:hAnsi="Arial" w:cs="Arial"/>
                <w:sz w:val="20"/>
              </w:rPr>
              <w:t>Kontu-hartzailetzako bulegoan daude.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documentos del Segundo Expediente de Créditos Adicionales del Presupuesto Municipal están expuestos en la oficina de Intervención.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 eta</w:t>
            </w:r>
            <w:r w:rsidRPr="00423BBE">
              <w:rPr>
                <w:rFonts w:ascii="Arial" w:hAnsi="Arial"/>
                <w:sz w:val="20"/>
              </w:rPr>
              <w:t>, inolako 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 aur</w:t>
            </w:r>
            <w:r>
              <w:rPr>
                <w:rFonts w:ascii="Arial" w:hAnsi="Arial"/>
                <w:sz w:val="20"/>
              </w:rPr>
              <w:t xml:space="preserve">keztu ez bada, agiri hori behin </w:t>
            </w:r>
            <w:r w:rsidRPr="00423BBE">
              <w:rPr>
                <w:rFonts w:ascii="Arial" w:hAnsi="Arial"/>
                <w:sz w:val="20"/>
              </w:rPr>
              <w:t>bet</w:t>
            </w:r>
            <w:r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ko onartutzat hartuko da, erabaki berririk hartu 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 gabe.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 xml:space="preserve">ción </w:t>
            </w:r>
            <w:r>
              <w:rPr>
                <w:rFonts w:ascii="Arial" w:hAnsi="Arial"/>
                <w:sz w:val="20"/>
              </w:rPr>
              <w:t xml:space="preserve">referido </w:t>
            </w:r>
            <w:r w:rsidRPr="00423BBE">
              <w:rPr>
                <w:rFonts w:ascii="Arial" w:hAnsi="Arial"/>
                <w:sz w:val="20"/>
              </w:rPr>
              <w:t>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 w:rsidRPr="00423BBE">
              <w:rPr>
                <w:sz w:val="20"/>
              </w:rPr>
              <w:t>Gipuzkoako Lurralde Historikoko Toki Eraku</w:t>
            </w:r>
            <w:r w:rsidRPr="00423BBE">
              <w:rPr>
                <w:sz w:val="20"/>
              </w:rPr>
              <w:t>n</w:t>
            </w:r>
            <w:r w:rsidRPr="00423BBE">
              <w:rPr>
                <w:sz w:val="20"/>
              </w:rPr>
              <w:t>deen aurrekontuei buruzko abenduaren 19ko 21/2003 Foru Araua</w:t>
            </w:r>
            <w:r>
              <w:rPr>
                <w:sz w:val="20"/>
              </w:rPr>
              <w:t xml:space="preserve">ren </w:t>
            </w:r>
            <w:r w:rsidRPr="00423BBE">
              <w:rPr>
                <w:sz w:val="20"/>
              </w:rPr>
              <w:t>15</w:t>
            </w:r>
            <w:r>
              <w:rPr>
                <w:sz w:val="20"/>
              </w:rPr>
              <w:t>.</w:t>
            </w:r>
            <w:proofErr w:type="gramStart"/>
            <w:r w:rsidRPr="00423BBE">
              <w:rPr>
                <w:sz w:val="20"/>
              </w:rPr>
              <w:t>,17</w:t>
            </w:r>
            <w:proofErr w:type="gramEnd"/>
            <w:r>
              <w:rPr>
                <w:sz w:val="20"/>
              </w:rPr>
              <w:t>.</w:t>
            </w:r>
            <w:r w:rsidRPr="00423BBE">
              <w:rPr>
                <w:sz w:val="20"/>
              </w:rPr>
              <w:t xml:space="preserve"> </w:t>
            </w:r>
            <w:proofErr w:type="gramStart"/>
            <w:r w:rsidRPr="00423BBE">
              <w:rPr>
                <w:sz w:val="20"/>
              </w:rPr>
              <w:t>eta</w:t>
            </w:r>
            <w:proofErr w:type="gramEnd"/>
            <w:r w:rsidRPr="00423BBE">
              <w:rPr>
                <w:sz w:val="20"/>
              </w:rPr>
              <w:t xml:space="preserve"> 18. </w:t>
            </w:r>
            <w:proofErr w:type="gramStart"/>
            <w:r w:rsidRPr="00423BBE">
              <w:rPr>
                <w:sz w:val="20"/>
              </w:rPr>
              <w:t>artikuluetan</w:t>
            </w:r>
            <w:proofErr w:type="gramEnd"/>
            <w:r w:rsidRPr="00423BBE">
              <w:rPr>
                <w:sz w:val="20"/>
              </w:rPr>
              <w:t xml:space="preserve"> ezarritakoa bete aldera </w:t>
            </w:r>
            <w:r>
              <w:rPr>
                <w:sz w:val="20"/>
              </w:rPr>
              <w:t xml:space="preserve">ezagutzera ematen zaio </w:t>
            </w:r>
            <w:r w:rsidRPr="00423BBE">
              <w:rPr>
                <w:sz w:val="20"/>
              </w:rPr>
              <w:t>jendeari</w:t>
            </w:r>
            <w:r>
              <w:rPr>
                <w:sz w:val="20"/>
              </w:rPr>
              <w:t>.</w:t>
            </w: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torio Histórico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koa.</w:t>
            </w: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713161" w:rsidRPr="00423BBE" w:rsidTr="00B35E28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713161" w:rsidRPr="00423BBE" w:rsidRDefault="00713161" w:rsidP="00B35E28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713161" w:rsidRPr="000B209C" w:rsidRDefault="00713161" w:rsidP="00713161">
      <w:pPr>
        <w:rPr>
          <w:rFonts w:ascii="Arial" w:hAnsi="Arial"/>
          <w:sz w:val="22"/>
        </w:rPr>
      </w:pPr>
      <w:r w:rsidRPr="00106F80">
        <w:rPr>
          <w:color w:val="FF0000"/>
        </w:rPr>
        <w:br w:type="page"/>
      </w:r>
    </w:p>
    <w:p w:rsidR="00713161" w:rsidRPr="000B209C" w:rsidRDefault="00713161" w:rsidP="00713161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EIBARKO UDALA</w:t>
            </w: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Iragarkia</w:t>
            </w: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Udal Aurrekontuko</w:t>
            </w:r>
            <w:r w:rsidRPr="000B209C">
              <w:rPr>
                <w:rFonts w:ascii="Arial" w:hAnsi="Arial"/>
                <w:sz w:val="22"/>
              </w:rPr>
              <w:t xml:space="preserve"> Kreditu Gehigarrien </w:t>
            </w:r>
            <w:r>
              <w:rPr>
                <w:rFonts w:ascii="Arial" w:hAnsi="Arial"/>
                <w:sz w:val="22"/>
              </w:rPr>
              <w:t>bigarren</w:t>
            </w:r>
            <w:r w:rsidRPr="000B209C">
              <w:rPr>
                <w:rFonts w:ascii="Arial" w:hAnsi="Arial"/>
                <w:sz w:val="22"/>
              </w:rPr>
              <w:t xml:space="preserve"> espedientea jendaurrean egon den epean ez denez erreklamazio edo oharpenik egin, espediente hori behin 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 onarturik gelditu da kapituluka 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 emango den laburpenaren arabera.</w:t>
            </w: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mentario de información pública del </w:t>
            </w:r>
            <w:r>
              <w:rPr>
                <w:rFonts w:ascii="Arial" w:hAnsi="Arial"/>
                <w:sz w:val="22"/>
              </w:rPr>
              <w:t>Segundo</w:t>
            </w:r>
            <w:r w:rsidRPr="000B209C">
              <w:rPr>
                <w:rFonts w:ascii="Arial" w:hAnsi="Arial"/>
                <w:sz w:val="22"/>
              </w:rPr>
              <w:t xml:space="preserve"> 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713161" w:rsidRDefault="00713161" w:rsidP="00713161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713161" w:rsidRPr="00FD7F3A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713161" w:rsidRPr="00044AF2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1.000</w:t>
            </w:r>
            <w:proofErr w:type="gramStart"/>
            <w:r>
              <w:rPr>
                <w:rFonts w:ascii="Arial" w:hAnsi="Arial" w:cs="Arial"/>
                <w:sz w:val="20"/>
              </w:rPr>
              <w:t>,00</w:t>
            </w:r>
            <w:proofErr w:type="gramEnd"/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E205B7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713161" w:rsidRPr="00E205B7" w:rsidRDefault="00713161" w:rsidP="00B35E28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713161" w:rsidRPr="00E205B7" w:rsidTr="00B35E2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871" w:type="dxa"/>
          </w:tcPr>
          <w:p w:rsidR="00713161" w:rsidRPr="008847F1" w:rsidRDefault="00713161" w:rsidP="00B35E2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Default="00713161" w:rsidP="00B35E28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8847F1" w:rsidRDefault="00713161" w:rsidP="00B35E28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2704DC">
              <w:rPr>
                <w:rFonts w:ascii="Arial" w:hAnsi="Arial" w:cs="Arial"/>
                <w:sz w:val="20"/>
                <w:u w:val="single"/>
              </w:rPr>
              <w:t>41.000,00</w:t>
            </w:r>
          </w:p>
        </w:tc>
        <w:tc>
          <w:tcPr>
            <w:tcW w:w="4751" w:type="dxa"/>
          </w:tcPr>
          <w:p w:rsidR="00713161" w:rsidRPr="002704DC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41.000,00</w:t>
            </w:r>
          </w:p>
        </w:tc>
      </w:tr>
      <w:tr w:rsidR="00713161" w:rsidRPr="008847F1" w:rsidTr="00B35E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713161" w:rsidRPr="008847F1" w:rsidRDefault="00713161" w:rsidP="00B35E28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  <w:tc>
          <w:tcPr>
            <w:tcW w:w="4751" w:type="dxa"/>
          </w:tcPr>
          <w:p w:rsidR="00713161" w:rsidRPr="008847F1" w:rsidRDefault="00713161" w:rsidP="00B35E28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41.000,00</w:t>
            </w:r>
          </w:p>
        </w:tc>
      </w:tr>
    </w:tbl>
    <w:p w:rsidR="00713161" w:rsidRPr="00D90C72" w:rsidRDefault="00713161" w:rsidP="00713161">
      <w:pPr>
        <w:rPr>
          <w:rFonts w:ascii="Arial" w:hAnsi="Arial" w:cs="Arial"/>
          <w:sz w:val="20"/>
        </w:rPr>
      </w:pPr>
    </w:p>
    <w:p w:rsidR="00713161" w:rsidRPr="00D90C72" w:rsidRDefault="00713161" w:rsidP="00713161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 xml:space="preserve">duaren 19ko 21/2003 Foru Arauak, 15,17 eta 18. </w:t>
            </w:r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ezarritakoa betez ematen da argitara.</w:t>
            </w: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  <w:tr w:rsidR="00713161" w:rsidRPr="000B209C" w:rsidTr="00B35E2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713161" w:rsidRPr="000B209C" w:rsidRDefault="00713161" w:rsidP="00B35E28">
            <w:pPr>
              <w:rPr>
                <w:rFonts w:ascii="Arial" w:hAnsi="Arial"/>
                <w:sz w:val="22"/>
              </w:rPr>
            </w:pPr>
          </w:p>
        </w:tc>
      </w:tr>
    </w:tbl>
    <w:p w:rsidR="00713161" w:rsidRPr="00106F80" w:rsidRDefault="00713161" w:rsidP="00713161">
      <w:pPr>
        <w:jc w:val="both"/>
      </w:pPr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7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61" w:rsidRDefault="00713161" w:rsidP="006574BD">
      <w:r>
        <w:separator/>
      </w:r>
    </w:p>
  </w:endnote>
  <w:endnote w:type="continuationSeparator" w:id="0">
    <w:p w:rsidR="00713161" w:rsidRDefault="00713161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61" w:rsidRPr="007947C0" w:rsidRDefault="00713161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PRESUP\2017\KRED GEHIGARR-ADICIONAL2017\2CRED.ADICION.17.doc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cs="Arial"/>
        <w:sz w:val="8"/>
        <w:szCs w:val="8"/>
      </w:rPr>
    </w:pPr>
    <w:r w:rsidRPr="006574BD">
      <w:rPr>
        <w:rFonts w:cs="Arial"/>
        <w:sz w:val="8"/>
        <w:szCs w:val="8"/>
      </w:rPr>
      <w:fldChar w:fldCharType="begin"/>
    </w:r>
    <w:r w:rsidRPr="006574BD">
      <w:rPr>
        <w:rFonts w:cs="Arial"/>
        <w:sz w:val="8"/>
        <w:szCs w:val="8"/>
      </w:rPr>
      <w:instrText xml:space="preserve"> FILENAME \p \* MERGEFORMAT </w:instrText>
    </w:r>
    <w:r w:rsidRPr="006574BD">
      <w:rPr>
        <w:rFonts w:cs="Arial"/>
        <w:sz w:val="8"/>
        <w:szCs w:val="8"/>
      </w:rPr>
      <w:fldChar w:fldCharType="separate"/>
    </w:r>
    <w:r w:rsidRPr="006574BD">
      <w:rPr>
        <w:rFonts w:cs="Arial"/>
        <w:noProof/>
        <w:sz w:val="8"/>
        <w:szCs w:val="8"/>
      </w:rPr>
      <w:t>Y:\word\plantill\Normal.dotm</w:t>
    </w:r>
    <w:r w:rsidRPr="006574BD"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61" w:rsidRDefault="00713161" w:rsidP="006574BD">
      <w:r>
        <w:separator/>
      </w:r>
    </w:p>
  </w:footnote>
  <w:footnote w:type="continuationSeparator" w:id="0">
    <w:p w:rsidR="00713161" w:rsidRDefault="00713161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61"/>
    <w:rsid w:val="00033107"/>
    <w:rsid w:val="00047DEE"/>
    <w:rsid w:val="000928A9"/>
    <w:rsid w:val="000967AF"/>
    <w:rsid w:val="000D023D"/>
    <w:rsid w:val="000D47BD"/>
    <w:rsid w:val="000E2C1F"/>
    <w:rsid w:val="000E42DA"/>
    <w:rsid w:val="0014749A"/>
    <w:rsid w:val="00147869"/>
    <w:rsid w:val="0016335F"/>
    <w:rsid w:val="0017689D"/>
    <w:rsid w:val="00187A9B"/>
    <w:rsid w:val="001902B6"/>
    <w:rsid w:val="00226596"/>
    <w:rsid w:val="002325BE"/>
    <w:rsid w:val="00274A2B"/>
    <w:rsid w:val="002A34B5"/>
    <w:rsid w:val="002A76F2"/>
    <w:rsid w:val="002C7B7E"/>
    <w:rsid w:val="00327279"/>
    <w:rsid w:val="0033575D"/>
    <w:rsid w:val="003518B5"/>
    <w:rsid w:val="003A7753"/>
    <w:rsid w:val="003C1CD1"/>
    <w:rsid w:val="003E13EE"/>
    <w:rsid w:val="003F2F0F"/>
    <w:rsid w:val="004D6CAB"/>
    <w:rsid w:val="004D75A7"/>
    <w:rsid w:val="006208EC"/>
    <w:rsid w:val="006266FF"/>
    <w:rsid w:val="00650DBB"/>
    <w:rsid w:val="006574BD"/>
    <w:rsid w:val="006632F0"/>
    <w:rsid w:val="00670E41"/>
    <w:rsid w:val="006770E7"/>
    <w:rsid w:val="00680D24"/>
    <w:rsid w:val="006D2297"/>
    <w:rsid w:val="00700094"/>
    <w:rsid w:val="00713161"/>
    <w:rsid w:val="00732AC6"/>
    <w:rsid w:val="0074168C"/>
    <w:rsid w:val="0077226B"/>
    <w:rsid w:val="00781319"/>
    <w:rsid w:val="0080121C"/>
    <w:rsid w:val="00863D55"/>
    <w:rsid w:val="008C4A8D"/>
    <w:rsid w:val="008C7411"/>
    <w:rsid w:val="00934B3B"/>
    <w:rsid w:val="00945D06"/>
    <w:rsid w:val="00957AE5"/>
    <w:rsid w:val="009E2228"/>
    <w:rsid w:val="00A04B84"/>
    <w:rsid w:val="00A14222"/>
    <w:rsid w:val="00A40836"/>
    <w:rsid w:val="00A446E0"/>
    <w:rsid w:val="00AB5C2C"/>
    <w:rsid w:val="00AC465D"/>
    <w:rsid w:val="00B07937"/>
    <w:rsid w:val="00B37B19"/>
    <w:rsid w:val="00B42689"/>
    <w:rsid w:val="00B54C48"/>
    <w:rsid w:val="00B939C4"/>
    <w:rsid w:val="00BB3585"/>
    <w:rsid w:val="00BB3C29"/>
    <w:rsid w:val="00BC5F88"/>
    <w:rsid w:val="00BF3461"/>
    <w:rsid w:val="00C01BB0"/>
    <w:rsid w:val="00C41668"/>
    <w:rsid w:val="00C5796E"/>
    <w:rsid w:val="00C648BE"/>
    <w:rsid w:val="00C764CE"/>
    <w:rsid w:val="00CB6D03"/>
    <w:rsid w:val="00D018E7"/>
    <w:rsid w:val="00D1420A"/>
    <w:rsid w:val="00D22B7D"/>
    <w:rsid w:val="00DD3042"/>
    <w:rsid w:val="00DF26A0"/>
    <w:rsid w:val="00E26F38"/>
    <w:rsid w:val="00E567E7"/>
    <w:rsid w:val="00E62018"/>
    <w:rsid w:val="00EC79D9"/>
    <w:rsid w:val="00EF6B96"/>
    <w:rsid w:val="00F13836"/>
    <w:rsid w:val="00F33DBB"/>
    <w:rsid w:val="00F904FE"/>
    <w:rsid w:val="00FB4021"/>
    <w:rsid w:val="00FB5D59"/>
    <w:rsid w:val="00FE149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8F1E-CD35-4D95-B01D-D735A0C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61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713161"/>
    <w:pPr>
      <w:keepNext/>
      <w:jc w:val="center"/>
      <w:outlineLvl w:val="0"/>
    </w:pPr>
    <w:rPr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3161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713161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713161"/>
    <w:rPr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713161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713161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9F1A1B26.dotm</Template>
  <TotalTime>7</TotalTime>
  <Pages>7</Pages>
  <Words>1246</Words>
  <Characters>8577</Characters>
  <Application>Microsoft Office Word</Application>
  <DocSecurity>0</DocSecurity>
  <Lines>71</Lines>
  <Paragraphs>19</Paragraphs>
  <ScaleCrop>false</ScaleCrop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2017-09-04T09:30:00Z</dcterms:created>
  <dcterms:modified xsi:type="dcterms:W3CDTF">2017-09-04T09:37:00Z</dcterms:modified>
</cp:coreProperties>
</file>