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62" w:rsidRDefault="00A06E62" w:rsidP="00A06E62">
      <w:pPr>
        <w:pStyle w:val="Ttulo4"/>
        <w:rPr>
          <w:rFonts w:ascii="Arial" w:hAnsi="Arial" w:cs="Arial"/>
        </w:rPr>
      </w:pPr>
    </w:p>
    <w:p w:rsidR="00A06E62" w:rsidRPr="00B701BE" w:rsidRDefault="00A06E62" w:rsidP="00A06E62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16</w:t>
      </w:r>
      <w:r w:rsidRPr="00B701BE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LAUGARREN</w:t>
      </w:r>
      <w:r w:rsidRPr="00B701BE">
        <w:rPr>
          <w:rFonts w:ascii="Arial" w:hAnsi="Arial" w:cs="Arial"/>
        </w:rPr>
        <w:t xml:space="preserve"> ESPEDIENTA</w:t>
      </w:r>
    </w:p>
    <w:p w:rsidR="00A06E62" w:rsidRPr="000F6186" w:rsidRDefault="00A06E62" w:rsidP="00A06E62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4º</w:t>
      </w:r>
      <w:r w:rsidRPr="000F6186">
        <w:rPr>
          <w:rFonts w:ascii="Arial" w:hAnsi="Arial" w:cs="Arial"/>
        </w:rPr>
        <w:t>. EXPEDIENTE DE CREDITOS ADICIONALES- 20</w:t>
      </w:r>
      <w:r>
        <w:rPr>
          <w:rFonts w:ascii="Arial" w:hAnsi="Arial" w:cs="Arial"/>
        </w:rPr>
        <w:t>16</w:t>
      </w:r>
      <w:r w:rsidRPr="000F6186">
        <w:rPr>
          <w:rFonts w:ascii="Arial" w:hAnsi="Arial" w:cs="Arial"/>
        </w:rPr>
        <w:t xml:space="preserve"> </w:t>
      </w:r>
    </w:p>
    <w:p w:rsidR="00A06E62" w:rsidRPr="000F6186" w:rsidRDefault="00A06E62" w:rsidP="00A06E62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A06E62" w:rsidRDefault="00A06E62" w:rsidP="00A06E62">
      <w:pPr>
        <w:jc w:val="center"/>
        <w:rPr>
          <w:rFonts w:ascii="Arial" w:hAnsi="Arial" w:cs="Arial"/>
          <w:b/>
          <w:sz w:val="20"/>
          <w:u w:val="single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D90C72">
              <w:rPr>
                <w:rFonts w:ascii="Arial" w:hAnsi="Arial" w:cs="Arial"/>
                <w:sz w:val="20"/>
              </w:rPr>
              <w:t>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Altxortegi gerakina. 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4.746.550,91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4.790.630,91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A06E62" w:rsidRPr="00D90C7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06E62" w:rsidRPr="00260F19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E62" w:rsidRPr="00260F19" w:rsidRDefault="00A06E62" w:rsidP="00D970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E62" w:rsidRPr="00260F19" w:rsidRDefault="00A06E62" w:rsidP="00D970B6">
            <w:pPr>
              <w:rPr>
                <w:rFonts w:ascii="Arial" w:hAnsi="Arial" w:cs="Arial"/>
                <w:b/>
                <w:sz w:val="20"/>
              </w:rPr>
            </w:pPr>
            <w:r w:rsidRPr="00260F19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06E62" w:rsidRPr="00416B3D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4.746.5</w:t>
            </w:r>
            <w:r w:rsidRPr="00416B3D">
              <w:rPr>
                <w:rFonts w:ascii="Arial" w:hAnsi="Arial" w:cs="Arial"/>
                <w:b/>
                <w:sz w:val="20"/>
              </w:rPr>
              <w:t>50,91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06E62" w:rsidRPr="00416B3D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16B3D">
              <w:rPr>
                <w:rFonts w:ascii="Arial" w:hAnsi="Arial" w:cs="Arial"/>
                <w:b/>
                <w:sz w:val="20"/>
              </w:rPr>
              <w:t>4.7</w:t>
            </w:r>
            <w:r>
              <w:rPr>
                <w:rFonts w:ascii="Arial" w:hAnsi="Arial" w:cs="Arial"/>
                <w:b/>
                <w:sz w:val="20"/>
              </w:rPr>
              <w:t>90.630,9</w:t>
            </w:r>
            <w:r w:rsidRPr="00416B3D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06E62" w:rsidRPr="00416B3D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</w:tbl>
    <w:p w:rsidR="00A06E62" w:rsidRPr="00260F19" w:rsidRDefault="00A06E62" w:rsidP="00A06E62">
      <w:pPr>
        <w:rPr>
          <w:rFonts w:ascii="Arial" w:hAnsi="Arial" w:cs="Arial"/>
          <w:b/>
          <w:sz w:val="20"/>
        </w:rPr>
      </w:pPr>
    </w:p>
    <w:p w:rsidR="00A06E62" w:rsidRDefault="00A06E62" w:rsidP="00A06E62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A06E62" w:rsidRDefault="00A06E62" w:rsidP="00A06E62">
      <w:pPr>
        <w:jc w:val="center"/>
        <w:rPr>
          <w:rFonts w:ascii="Arial" w:hAnsi="Arial" w:cs="Arial"/>
          <w:b/>
          <w:sz w:val="20"/>
          <w:u w:val="single"/>
        </w:rPr>
      </w:pPr>
    </w:p>
    <w:p w:rsidR="00A06E62" w:rsidRPr="00D90C72" w:rsidRDefault="00A06E62" w:rsidP="00A06E62">
      <w:pPr>
        <w:jc w:val="center"/>
        <w:rPr>
          <w:rFonts w:ascii="Arial" w:hAnsi="Arial" w:cs="Arial"/>
          <w:b/>
          <w:sz w:val="20"/>
          <w:u w:val="single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1.0500.481.14.231.80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Transferentzia entitateei/ Transferencia a entidades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4.080,00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1.0400.421.01.162.10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Mankomunitate/Mancomunidad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A06E62" w:rsidRDefault="00A06E62" w:rsidP="00D970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06E62" w:rsidRPr="00D90C72" w:rsidRDefault="00A06E62" w:rsidP="00D970B6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06E62" w:rsidRPr="009F4D9C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210.000,00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06E62" w:rsidRPr="009F4D9C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254.080,00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06E62" w:rsidRPr="009F4D9C" w:rsidRDefault="00A06E62" w:rsidP="00D970B6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</w:tbl>
    <w:p w:rsidR="00A06E62" w:rsidRPr="00D90C72" w:rsidRDefault="00A06E62" w:rsidP="00A06E62">
      <w:pPr>
        <w:jc w:val="both"/>
        <w:rPr>
          <w:rFonts w:ascii="Arial" w:hAnsi="Arial" w:cs="Arial"/>
          <w:sz w:val="20"/>
        </w:rPr>
      </w:pPr>
    </w:p>
    <w:p w:rsidR="00A06E62" w:rsidRPr="00D90C72" w:rsidRDefault="00A06E62" w:rsidP="00A06E62">
      <w:pPr>
        <w:jc w:val="both"/>
        <w:rPr>
          <w:rFonts w:ascii="Arial" w:hAnsi="Arial" w:cs="Arial"/>
          <w:sz w:val="20"/>
        </w:rPr>
      </w:pPr>
    </w:p>
    <w:p w:rsidR="00A06E62" w:rsidRDefault="00A06E62" w:rsidP="00A06E62">
      <w:pPr>
        <w:jc w:val="both"/>
        <w:rPr>
          <w:rFonts w:ascii="Arial" w:hAnsi="Arial" w:cs="Arial"/>
          <w:sz w:val="20"/>
        </w:rPr>
        <w:sectPr w:rsidR="00A06E62" w:rsidSect="00580283">
          <w:footerReference w:type="default" r:id="rId7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A06E62" w:rsidRPr="00D90C72" w:rsidRDefault="00A06E62" w:rsidP="00A06E62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12C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KONTUHARTZAILEAREN TXOSTENA</w:t>
            </w: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</w:rPr>
              <w:t>Zigor Eguia Lejardi, Eibarko Udaleko Kontuhartzailea naizen honek, Udal Arreko</w:t>
            </w:r>
            <w:r w:rsidRPr="004512C6">
              <w:rPr>
                <w:rFonts w:ascii="Arial" w:hAnsi="Arial" w:cs="Arial"/>
                <w:sz w:val="22"/>
                <w:szCs w:val="22"/>
              </w:rPr>
              <w:t>n</w:t>
            </w:r>
            <w:r w:rsidRPr="004512C6">
              <w:rPr>
                <w:rFonts w:ascii="Arial" w:hAnsi="Arial" w:cs="Arial"/>
                <w:sz w:val="22"/>
                <w:szCs w:val="22"/>
              </w:rPr>
              <w:t>tuko Kreditu Gehigarriaren laugarren espedie</w:t>
            </w:r>
            <w:r w:rsidRPr="004512C6">
              <w:rPr>
                <w:rFonts w:ascii="Arial" w:hAnsi="Arial" w:cs="Arial"/>
                <w:sz w:val="22"/>
                <w:szCs w:val="22"/>
              </w:rPr>
              <w:t>n</w:t>
            </w:r>
            <w:r w:rsidRPr="004512C6">
              <w:rPr>
                <w:rFonts w:ascii="Arial" w:hAnsi="Arial" w:cs="Arial"/>
                <w:sz w:val="22"/>
                <w:szCs w:val="22"/>
              </w:rPr>
              <w:t xml:space="preserve">teari buruz honako hau esan behar dut: egin behar diren eragiketak egin daitezkeela, Gipuzkoako Lurralde Historikoko Toki Erakundeen aurrekontuei  buruzko abenduaren 19ko 21/2003 Foru Arauaren 31. </w:t>
            </w:r>
            <w:proofErr w:type="gramStart"/>
            <w:r w:rsidRPr="004512C6">
              <w:rPr>
                <w:rFonts w:ascii="Arial" w:hAnsi="Arial" w:cs="Arial"/>
                <w:sz w:val="22"/>
                <w:szCs w:val="22"/>
              </w:rPr>
              <w:t>a</w:t>
            </w:r>
            <w:r w:rsidRPr="004512C6">
              <w:rPr>
                <w:rFonts w:ascii="Arial" w:hAnsi="Arial" w:cs="Arial"/>
                <w:sz w:val="22"/>
                <w:szCs w:val="22"/>
              </w:rPr>
              <w:t>r</w:t>
            </w:r>
            <w:r w:rsidRPr="004512C6">
              <w:rPr>
                <w:rFonts w:ascii="Arial" w:hAnsi="Arial" w:cs="Arial"/>
                <w:sz w:val="22"/>
                <w:szCs w:val="22"/>
              </w:rPr>
              <w:t>tikuluak</w:t>
            </w:r>
            <w:proofErr w:type="gramEnd"/>
            <w:r w:rsidRPr="004512C6">
              <w:rPr>
                <w:rFonts w:ascii="Arial" w:hAnsi="Arial" w:cs="Arial"/>
                <w:sz w:val="22"/>
                <w:szCs w:val="22"/>
              </w:rPr>
              <w:t xml:space="preserve"> dioena bete egiten delako tramitazioari dagokionez, eta finantzaketarako behar adina baliabide d</w:t>
            </w:r>
            <w:r w:rsidRPr="004512C6">
              <w:rPr>
                <w:rFonts w:ascii="Arial" w:hAnsi="Arial" w:cs="Arial"/>
                <w:sz w:val="22"/>
                <w:szCs w:val="22"/>
              </w:rPr>
              <w:t>a</w:t>
            </w:r>
            <w:r w:rsidRPr="004512C6">
              <w:rPr>
                <w:rFonts w:ascii="Arial" w:hAnsi="Arial" w:cs="Arial"/>
                <w:sz w:val="22"/>
                <w:szCs w:val="22"/>
              </w:rPr>
              <w:t>goelako.</w:t>
            </w: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</w:rPr>
              <w:t>En relación con el Cuarto Expediente de Créditos Adicionales del Presupuesto Mun</w:t>
            </w:r>
            <w:r w:rsidRPr="004512C6">
              <w:rPr>
                <w:rFonts w:ascii="Arial" w:hAnsi="Arial" w:cs="Arial"/>
                <w:sz w:val="22"/>
                <w:szCs w:val="22"/>
              </w:rPr>
              <w:t>i</w:t>
            </w:r>
            <w:r w:rsidRPr="004512C6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4512C6">
              <w:rPr>
                <w:rFonts w:ascii="Arial" w:hAnsi="Arial" w:cs="Arial"/>
                <w:sz w:val="22"/>
                <w:szCs w:val="22"/>
              </w:rPr>
              <w:t>o</w:t>
            </w:r>
            <w:r w:rsidRPr="004512C6">
              <w:rPr>
                <w:rFonts w:ascii="Arial" w:hAnsi="Arial" w:cs="Arial"/>
                <w:sz w:val="22"/>
                <w:szCs w:val="22"/>
              </w:rPr>
              <w:t xml:space="preserve">rrespondientes pueden llevarse a cabo al cumplirse con los requisitos establecidos en el artículo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512C6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4512C6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4512C6">
              <w:rPr>
                <w:rFonts w:ascii="Arial" w:hAnsi="Arial" w:cs="Arial"/>
                <w:sz w:val="22"/>
                <w:szCs w:val="22"/>
              </w:rPr>
              <w:t>e</w:t>
            </w:r>
            <w:r w:rsidRPr="004512C6">
              <w:rPr>
                <w:rFonts w:ascii="Arial" w:hAnsi="Arial" w:cs="Arial"/>
                <w:sz w:val="22"/>
                <w:szCs w:val="22"/>
              </w:rPr>
              <w:t>supuestaria de las Entidades Locales del Territorio Histórico de Gipuzkoa en cuanto a su tramitación se refiere, y contar con recu</w:t>
            </w:r>
            <w:r w:rsidRPr="004512C6">
              <w:rPr>
                <w:rFonts w:ascii="Arial" w:hAnsi="Arial" w:cs="Arial"/>
                <w:sz w:val="22"/>
                <w:szCs w:val="22"/>
              </w:rPr>
              <w:t>r</w:t>
            </w:r>
            <w:r w:rsidRPr="004512C6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4512C6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512C6" w:rsidRDefault="00A06E62" w:rsidP="00D970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A06E62" w:rsidRPr="004512C6" w:rsidRDefault="00A06E62" w:rsidP="00D970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614C95" w:rsidRDefault="00A06E62" w:rsidP="00A06E62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A06E62" w:rsidRPr="00614C95" w:rsidRDefault="00A06E62" w:rsidP="00A06E62">
      <w:pPr>
        <w:jc w:val="both"/>
        <w:rPr>
          <w:rFonts w:ascii="Arial" w:hAnsi="Arial" w:cs="Arial"/>
          <w:sz w:val="22"/>
          <w:szCs w:val="22"/>
        </w:rPr>
      </w:pPr>
    </w:p>
    <w:p w:rsidR="00A06E62" w:rsidRPr="00614C95" w:rsidRDefault="00A06E62" w:rsidP="00A06E62">
      <w:pPr>
        <w:jc w:val="both"/>
        <w:rPr>
          <w:rFonts w:ascii="Arial" w:hAnsi="Arial" w:cs="Arial"/>
          <w:sz w:val="22"/>
          <w:szCs w:val="22"/>
        </w:rPr>
      </w:pPr>
    </w:p>
    <w:p w:rsidR="00A06E62" w:rsidRDefault="00A06E62" w:rsidP="00A06E62">
      <w:pPr>
        <w:rPr>
          <w:sz w:val="22"/>
        </w:rPr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A06E62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13563" w:rsidRDefault="00A06E62" w:rsidP="00D970B6">
            <w:pPr>
              <w:pStyle w:val="Ttulo1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6E62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A06E62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16KO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DITU GEHIGARRIEN </w:t>
            </w:r>
            <w:r>
              <w:rPr>
                <w:rFonts w:ascii="Arial" w:hAnsi="Arial" w:cs="Arial"/>
                <w:b/>
                <w:sz w:val="22"/>
                <w:u w:val="single"/>
              </w:rPr>
              <w:t>LAUGARREN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CUARTO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16</w:t>
            </w:r>
          </w:p>
        </w:tc>
      </w:tr>
      <w:tr w:rsidR="00A06E62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6E62" w:rsidTr="00D970B6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Gipuzkoako Lurralde Historikoko Toki Erakundeen aurrekontuei buruzko 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 xml:space="preserve">duaren 19ko 21/2003 Foru Arauaren 34. </w:t>
            </w:r>
            <w:proofErr w:type="gramStart"/>
            <w:r w:rsidRPr="00413563">
              <w:rPr>
                <w:rFonts w:ascii="Arial" w:hAnsi="Arial" w:cs="Arial"/>
                <w:sz w:val="22"/>
              </w:rPr>
              <w:t>artikuluak</w:t>
            </w:r>
            <w:proofErr w:type="gramEnd"/>
            <w:r w:rsidRPr="00413563">
              <w:rPr>
                <w:rFonts w:ascii="Arial" w:hAnsi="Arial" w:cs="Arial"/>
                <w:sz w:val="22"/>
              </w:rPr>
              <w:t xml:space="preserve"> dioenari jarraituz, ondoren 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patzen diren</w:t>
            </w:r>
            <w:r>
              <w:rPr>
                <w:rFonts w:ascii="Arial" w:hAnsi="Arial" w:cs="Arial"/>
                <w:sz w:val="22"/>
              </w:rPr>
              <w:t xml:space="preserve"> kontzeptuei dagozkien</w:t>
            </w:r>
            <w:r w:rsidRPr="00413563">
              <w:rPr>
                <w:rFonts w:ascii="Arial" w:hAnsi="Arial" w:cs="Arial"/>
                <w:sz w:val="22"/>
              </w:rPr>
              <w:t xml:space="preserve"> 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 egiteko premia eta larritasuna 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 hauxe proposatzen dut: Udal 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rrekontuko Kreditu Gehigarrien </w:t>
            </w:r>
            <w:r>
              <w:rPr>
                <w:rFonts w:ascii="Arial" w:hAnsi="Arial" w:cs="Arial"/>
                <w:sz w:val="22"/>
              </w:rPr>
              <w:t>laugarren</w:t>
            </w:r>
            <w:r w:rsidRPr="00413563">
              <w:rPr>
                <w:rFonts w:ascii="Arial" w:hAnsi="Arial" w:cs="Arial"/>
                <w:sz w:val="22"/>
              </w:rPr>
              <w:t xml:space="preserve"> espedientea aipatzen diren zenbatekoetan onartzea, 20</w:t>
            </w:r>
            <w:r>
              <w:rPr>
                <w:rFonts w:ascii="Arial" w:hAnsi="Arial" w:cs="Arial"/>
                <w:sz w:val="22"/>
              </w:rPr>
              <w:t>16ko</w:t>
            </w:r>
            <w:r w:rsidRPr="00413563">
              <w:rPr>
                <w:rFonts w:ascii="Arial" w:hAnsi="Arial" w:cs="Arial"/>
                <w:sz w:val="22"/>
              </w:rPr>
              <w:t xml:space="preserve"> udal aurrekontuaren kontu-sailetan izendatutako kredituak ez baitira behar 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koak.</w:t>
            </w:r>
          </w:p>
        </w:tc>
        <w:tc>
          <w:tcPr>
            <w:tcW w:w="4751" w:type="dxa"/>
          </w:tcPr>
          <w:p w:rsidR="00A06E62" w:rsidRPr="00413563" w:rsidRDefault="00A06E62" w:rsidP="00D970B6">
            <w:pPr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>cales del Territorio Histórico de Gipuzkoa,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16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 xml:space="preserve">ción del </w:t>
            </w:r>
            <w:r>
              <w:rPr>
                <w:rFonts w:ascii="Arial" w:hAnsi="Arial" w:cs="Arial"/>
                <w:sz w:val="22"/>
              </w:rPr>
              <w:t>Cuarto</w:t>
            </w:r>
            <w:r w:rsidRPr="00413563">
              <w:rPr>
                <w:rFonts w:ascii="Arial" w:hAnsi="Arial" w:cs="Arial"/>
                <w:sz w:val="22"/>
              </w:rPr>
              <w:t xml:space="preserve">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</w:tbl>
    <w:p w:rsidR="00A06E62" w:rsidRDefault="00A06E62" w:rsidP="00A06E62">
      <w:pPr>
        <w:rPr>
          <w:rFonts w:ascii="Arial" w:hAnsi="Arial" w:cs="Arial"/>
          <w:sz w:val="20"/>
        </w:rPr>
      </w:pPr>
    </w:p>
    <w:p w:rsidR="00A06E62" w:rsidRDefault="00A06E62" w:rsidP="00A06E62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LABURPENA KAPITULUKA / RESUMEN POR CAPITULOS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527F31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3773D3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371C54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371C54">
              <w:rPr>
                <w:rFonts w:ascii="Arial" w:hAnsi="Arial" w:cs="Arial"/>
                <w:sz w:val="20"/>
                <w:u w:val="single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Transferenc.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803EFC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6A61DE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6E62" w:rsidRDefault="00A06E62" w:rsidP="00A06E62"/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Default="00A06E62" w:rsidP="00A06E62">
      <w:r>
        <w:br w:type="page"/>
      </w:r>
    </w:p>
    <w:tbl>
      <w:tblPr>
        <w:tblW w:w="963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2016ko Udal Aurrekontuko Kreditu Gehigarrien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Lau</w:t>
            </w: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t>garren  espedientea</w:t>
            </w:r>
          </w:p>
        </w:tc>
        <w:tc>
          <w:tcPr>
            <w:tcW w:w="4773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Cuarto</w:t>
            </w: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t xml:space="preserve"> expediente de Créditos Adicionales del Presupuesto Municipal 2016</w:t>
            </w: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73" w:type="dxa"/>
          </w:tcPr>
          <w:p w:rsidR="00A06E62" w:rsidRPr="0077040C" w:rsidRDefault="00A06E62" w:rsidP="00D970B6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  <w:lang w:val="eu-ES"/>
              </w:rPr>
            </w:pPr>
            <w:r w:rsidRPr="0077040C">
              <w:rPr>
                <w:rFonts w:cs="Arial"/>
                <w:szCs w:val="22"/>
                <w:lang w:val="eu-ES"/>
              </w:rPr>
              <w:t>2016. jardunaldirako Udal Aurrekontuari dagozkion partidetan izendatutako kredituak urriak izatera, ondoren zehazten diren kontzeptuengatik egin behar diren gastuak presakotzat eta premiazkotzat hartu dira.</w:t>
            </w:r>
          </w:p>
        </w:tc>
        <w:tc>
          <w:tcPr>
            <w:tcW w:w="4773" w:type="dxa"/>
          </w:tcPr>
          <w:p w:rsidR="00A06E62" w:rsidRPr="0077040C" w:rsidRDefault="00A06E62" w:rsidP="00D970B6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77040C">
              <w:rPr>
                <w:rFonts w:cs="Arial"/>
                <w:szCs w:val="22"/>
              </w:rPr>
              <w:t>Al ser insuficientes los créditos consignados en las correspondientes partidas del Presupuesto Municipal para el Ejercicio 2016; se considera la necesidad y urgencia de los gastos a realizar en los conceptos que se detallan.</w:t>
            </w: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Udal Aurrekontuaren Kreditu Gehigarrien </w:t>
            </w:r>
            <w:r>
              <w:rPr>
                <w:rFonts w:ascii="Arial" w:hAnsi="Arial" w:cs="Arial"/>
                <w:sz w:val="22"/>
                <w:szCs w:val="22"/>
              </w:rPr>
              <w:t>Hiru</w:t>
            </w:r>
            <w:r w:rsidRPr="0077040C">
              <w:rPr>
                <w:rFonts w:ascii="Arial" w:hAnsi="Arial" w:cs="Arial"/>
                <w:sz w:val="22"/>
                <w:szCs w:val="22"/>
              </w:rPr>
              <w:t>garren espedientearen inguruan Alkateak egin duen proposamena, eta  Kontu-hartzaile jaunak espediente horren inguruan egindako txostena ikusita,</w:t>
            </w:r>
          </w:p>
        </w:tc>
        <w:tc>
          <w:tcPr>
            <w:tcW w:w="4773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Vistos, la propuesta de Alcaldía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Tercer </w:t>
            </w:r>
            <w:r w:rsidRPr="0077040C">
              <w:rPr>
                <w:rFonts w:ascii="Arial" w:hAnsi="Arial" w:cs="Arial"/>
                <w:sz w:val="22"/>
                <w:szCs w:val="22"/>
              </w:rPr>
              <w:t xml:space="preserve">expediente de créditos adicionales del Presupuesto Municipal y el informe del Interventor sobre el expediente, </w:t>
            </w: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E62" w:rsidRPr="00C66FCA" w:rsidTr="00D970B6">
        <w:tc>
          <w:tcPr>
            <w:tcW w:w="4858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>Kontu Ogasun eta Ondare Lan batzordeak proposamena bozkatu du eta emaitza hauxe izan da: aldeko botoak 4 (Miguel de los Toyos, Alberto Albistegui, Patricia Arrizabalaga eta Jon Iraola), eta 5 abstentzio (Gorka Errasti,</w:t>
            </w:r>
            <w:r>
              <w:rPr>
                <w:rFonts w:ascii="Arial" w:hAnsi="Arial" w:cs="Arial"/>
                <w:sz w:val="22"/>
                <w:szCs w:val="22"/>
              </w:rPr>
              <w:t xml:space="preserve"> Ana Fran Astigarraga</w:t>
            </w:r>
            <w:r w:rsidRPr="0077040C">
              <w:rPr>
                <w:rFonts w:ascii="Arial" w:hAnsi="Arial" w:cs="Arial"/>
                <w:sz w:val="22"/>
                <w:szCs w:val="22"/>
              </w:rPr>
              <w:t>, Elena Ibañez, Eva Juez eta Mª Jesus Aguirre). Horren ondorioz, Udalbatzari Udal A</w:t>
            </w:r>
            <w:r>
              <w:rPr>
                <w:rFonts w:ascii="Arial" w:hAnsi="Arial" w:cs="Arial"/>
                <w:sz w:val="22"/>
                <w:szCs w:val="22"/>
              </w:rPr>
              <w:t>urrekontuko Kreditu Gehigarrien Lau</w:t>
            </w:r>
            <w:r w:rsidRPr="0077040C">
              <w:rPr>
                <w:rFonts w:ascii="Arial" w:hAnsi="Arial" w:cs="Arial"/>
                <w:sz w:val="22"/>
                <w:szCs w:val="22"/>
              </w:rPr>
              <w:t>garren espedientea ontzat hartzea eskatu dio, honako zenbateko hauek dituena:</w:t>
            </w:r>
          </w:p>
        </w:tc>
        <w:tc>
          <w:tcPr>
            <w:tcW w:w="4773" w:type="dxa"/>
          </w:tcPr>
          <w:p w:rsidR="00A06E62" w:rsidRPr="0077040C" w:rsidRDefault="00A06E62" w:rsidP="00D970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los siguientes resultados: 4 votos a favor: Miguel de los Toyos, Alberto Albístegui, Patricia Arrizabalaga y Jon Iraola, y 5 abstenciones: Gorka Errasti, </w:t>
            </w:r>
            <w:r>
              <w:rPr>
                <w:rFonts w:ascii="Arial" w:hAnsi="Arial" w:cs="Arial"/>
                <w:sz w:val="22"/>
                <w:szCs w:val="22"/>
              </w:rPr>
              <w:t>Ana Fran Astigarraga</w:t>
            </w:r>
            <w:r w:rsidRPr="0077040C">
              <w:rPr>
                <w:rFonts w:ascii="Arial" w:hAnsi="Arial" w:cs="Arial"/>
                <w:sz w:val="22"/>
                <w:szCs w:val="22"/>
              </w:rPr>
              <w:t xml:space="preserve">, Elena Ibáñez, Eva Juez y Mª Jesus Aguirre 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 xml:space="preserve">Cuarto </w:t>
            </w:r>
            <w:r w:rsidRPr="0077040C">
              <w:rPr>
                <w:rFonts w:ascii="Arial" w:hAnsi="Arial" w:cs="Arial"/>
                <w:sz w:val="22"/>
                <w:szCs w:val="22"/>
              </w:rPr>
              <w:t>expediente de Créditos Adicionales del Presupuesto Municipal cifrado en las siguientes cantidades:</w:t>
            </w:r>
          </w:p>
        </w:tc>
      </w:tr>
    </w:tbl>
    <w:p w:rsidR="00A06E62" w:rsidRDefault="00A06E62" w:rsidP="00A06E62"/>
    <w:p w:rsidR="00A06E62" w:rsidRDefault="00A06E62" w:rsidP="00A06E62">
      <w:pPr>
        <w:rPr>
          <w:rFonts w:ascii="Arial" w:hAnsi="Arial" w:cs="Arial"/>
          <w:sz w:val="20"/>
        </w:rPr>
      </w:pPr>
      <w:r>
        <w:br w:type="page"/>
      </w:r>
      <w:r w:rsidRPr="00D90C72">
        <w:rPr>
          <w:rFonts w:ascii="Arial" w:hAnsi="Arial" w:cs="Arial"/>
          <w:sz w:val="20"/>
        </w:rPr>
        <w:lastRenderedPageBreak/>
        <w:t>LABURPENA KAPITULUKA / RESUMEN POR CAPITULOS</w:t>
      </w:r>
    </w:p>
    <w:p w:rsidR="00A06E6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527F31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3773D3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371C54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371C54">
              <w:rPr>
                <w:rFonts w:ascii="Arial" w:hAnsi="Arial" w:cs="Arial"/>
                <w:sz w:val="20"/>
                <w:u w:val="single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Transferenc.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>
              <w:rPr>
                <w:rFonts w:ascii="Arial" w:hAnsi="Arial" w:cs="Arial"/>
                <w:sz w:val="20"/>
                <w:u w:val="none"/>
              </w:rPr>
              <w:t>..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803EFC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6A61DE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Default="00A06E62" w:rsidP="00A06E62"/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Default="00A06E62" w:rsidP="00A06E62">
      <w:pPr>
        <w:rPr>
          <w:rFonts w:ascii="Arial" w:hAnsi="Arial" w:cs="Arial"/>
          <w:sz w:val="22"/>
          <w:szCs w:val="22"/>
        </w:rPr>
      </w:pPr>
    </w:p>
    <w:p w:rsidR="00A06E62" w:rsidRDefault="00A06E62" w:rsidP="00A06E62">
      <w:pPr>
        <w:jc w:val="both"/>
        <w:rPr>
          <w:rFonts w:ascii="Arial" w:hAnsi="Arial" w:cs="Arial"/>
          <w:sz w:val="22"/>
          <w:szCs w:val="22"/>
        </w:rPr>
      </w:pPr>
      <w:r w:rsidRPr="008A6221">
        <w:rPr>
          <w:rFonts w:ascii="Arial" w:hAnsi="Arial" w:cs="Arial"/>
          <w:sz w:val="22"/>
          <w:szCs w:val="22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lastRenderedPageBreak/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Udalbatzak,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6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urriaren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17an egindako</w:t>
            </w:r>
            <w:r w:rsidRPr="00423BBE">
              <w:rPr>
                <w:rFonts w:ascii="Arial" w:hAnsi="Arial"/>
                <w:sz w:val="20"/>
              </w:rPr>
              <w:t xml:space="preserve"> 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>kuran</w:t>
            </w:r>
            <w:r>
              <w:rPr>
                <w:rFonts w:ascii="Arial" w:hAnsi="Arial"/>
                <w:sz w:val="20"/>
              </w:rPr>
              <w:t>,</w:t>
            </w:r>
            <w:r w:rsidRPr="00423BBE">
              <w:rPr>
                <w:rFonts w:ascii="Arial" w:hAnsi="Arial"/>
                <w:sz w:val="20"/>
              </w:rPr>
              <w:t xml:space="preserve"> Udal Aurrekontuko Kreditu Gehigarrien </w:t>
            </w:r>
            <w:r>
              <w:rPr>
                <w:rFonts w:ascii="Arial" w:hAnsi="Arial"/>
                <w:sz w:val="20"/>
              </w:rPr>
              <w:t xml:space="preserve">Laugarren </w:t>
            </w:r>
            <w:r w:rsidRPr="00423BBE">
              <w:rPr>
                <w:rFonts w:ascii="Arial" w:hAnsi="Arial"/>
                <w:sz w:val="20"/>
              </w:rPr>
              <w:t>espedientea onartzea 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 zuen.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z w:val="20"/>
              </w:rPr>
              <w:t xml:space="preserve"> Pleno Municipal, </w:t>
            </w:r>
            <w:r w:rsidRPr="00423BBE">
              <w:rPr>
                <w:rFonts w:ascii="Arial" w:hAnsi="Arial"/>
                <w:sz w:val="20"/>
              </w:rPr>
              <w:t>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>
              <w:rPr>
                <w:rFonts w:ascii="Arial" w:hAnsi="Arial"/>
                <w:sz w:val="20"/>
              </w:rPr>
              <w:t xml:space="preserve"> 17 de octubre de 2016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</w:t>
            </w:r>
            <w:r w:rsidRPr="00423BBE">
              <w:rPr>
                <w:rFonts w:ascii="Arial" w:hAnsi="Arial"/>
                <w:sz w:val="20"/>
              </w:rPr>
              <w:t>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</w:t>
            </w:r>
            <w:r>
              <w:rPr>
                <w:rFonts w:ascii="Arial" w:hAnsi="Arial"/>
                <w:sz w:val="20"/>
              </w:rPr>
              <w:t>r e</w:t>
            </w:r>
            <w:r w:rsidRPr="00423BBE">
              <w:rPr>
                <w:rFonts w:ascii="Arial" w:hAnsi="Arial"/>
                <w:sz w:val="20"/>
              </w:rPr>
              <w:t xml:space="preserve">l </w:t>
            </w:r>
            <w:r>
              <w:rPr>
                <w:rFonts w:ascii="Arial" w:hAnsi="Arial"/>
                <w:sz w:val="20"/>
              </w:rPr>
              <w:t xml:space="preserve">Cuarto </w:t>
            </w:r>
            <w:r w:rsidRPr="00423BBE">
              <w:rPr>
                <w:rFonts w:ascii="Arial" w:hAnsi="Arial"/>
                <w:sz w:val="20"/>
              </w:rPr>
              <w:t>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 xml:space="preserve">bost eguneko epean, </w:t>
            </w:r>
            <w:r>
              <w:rPr>
                <w:rFonts w:ascii="Arial" w:hAnsi="Arial"/>
                <w:sz w:val="20"/>
              </w:rPr>
              <w:t xml:space="preserve">honako </w:t>
            </w:r>
            <w:r w:rsidRPr="00423BBE">
              <w:rPr>
                <w:rFonts w:ascii="Arial" w:hAnsi="Arial"/>
                <w:sz w:val="20"/>
              </w:rPr>
              <w:t>iragarki hau Gipuzkoako Aldizkari Ofizialean argitaratu eta biharamunetik zenbatuta</w:t>
            </w:r>
            <w:r>
              <w:rPr>
                <w:rFonts w:ascii="Arial" w:hAnsi="Arial"/>
                <w:sz w:val="20"/>
              </w:rPr>
              <w:t>; epe horretan,</w:t>
            </w:r>
            <w:r w:rsidRPr="00423BBE">
              <w:rPr>
                <w:rFonts w:ascii="Arial" w:hAnsi="Arial"/>
                <w:sz w:val="20"/>
              </w:rPr>
              <w:t xml:space="preserve"> interesatuek</w:t>
            </w:r>
            <w:r>
              <w:rPr>
                <w:rFonts w:ascii="Arial" w:hAnsi="Arial"/>
                <w:sz w:val="20"/>
              </w:rPr>
              <w:t xml:space="preserve">, Espedientea </w:t>
            </w:r>
            <w:r w:rsidRPr="00423BBE">
              <w:rPr>
                <w:rFonts w:ascii="Arial" w:hAnsi="Arial"/>
                <w:sz w:val="20"/>
              </w:rPr>
              <w:t>aztertu eta Udalari err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 xml:space="preserve">klamazioak aurkeztu </w:t>
            </w:r>
            <w:r>
              <w:rPr>
                <w:rFonts w:ascii="Arial" w:hAnsi="Arial"/>
                <w:sz w:val="20"/>
              </w:rPr>
              <w:t>ahal izango dituzte.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expuesto </w:t>
            </w:r>
            <w:r w:rsidRPr="00423BBE">
              <w:rPr>
                <w:rFonts w:ascii="Arial" w:hAnsi="Arial"/>
                <w:sz w:val="20"/>
              </w:rPr>
              <w:t>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 xml:space="preserve">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contado a partir del siguiente al de</w:t>
            </w:r>
            <w:r>
              <w:rPr>
                <w:rFonts w:ascii="Arial" w:hAnsi="Arial"/>
                <w:sz w:val="20"/>
              </w:rPr>
              <w:t xml:space="preserve"> la</w:t>
            </w:r>
            <w:r w:rsidRPr="00423BBE">
              <w:rPr>
                <w:rFonts w:ascii="Arial" w:hAnsi="Arial"/>
                <w:sz w:val="20"/>
              </w:rPr>
              <w:t xml:space="preserve"> inserción </w:t>
            </w:r>
            <w:r>
              <w:rPr>
                <w:rFonts w:ascii="Arial" w:hAnsi="Arial"/>
                <w:sz w:val="20"/>
              </w:rPr>
              <w:t xml:space="preserve">del presente anuncio </w:t>
            </w:r>
            <w:r w:rsidRPr="00423BBE">
              <w:rPr>
                <w:rFonts w:ascii="Arial" w:hAnsi="Arial"/>
                <w:sz w:val="20"/>
              </w:rPr>
              <w:t>en el Boletín Oficial de Gipu</w:t>
            </w:r>
            <w:r w:rsidRPr="00423BBE"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z w:val="20"/>
              </w:rPr>
              <w:t>koa;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Udal Aurrekontuko Kreditu Gehigarrien </w:t>
            </w:r>
            <w:r>
              <w:rPr>
                <w:rFonts w:ascii="Arial" w:hAnsi="Arial"/>
                <w:sz w:val="20"/>
              </w:rPr>
              <w:t xml:space="preserve">Laugarren </w:t>
            </w:r>
            <w:r w:rsidRPr="00423BBE">
              <w:rPr>
                <w:rFonts w:ascii="Arial" w:hAnsi="Arial"/>
                <w:sz w:val="20"/>
              </w:rPr>
              <w:t>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</w:t>
            </w:r>
            <w:r>
              <w:rPr>
                <w:rFonts w:ascii="Arial" w:hAnsi="Arial" w:cs="Arial"/>
                <w:sz w:val="20"/>
              </w:rPr>
              <w:t>Kontu-hartzailetzako bulegoan daude</w:t>
            </w:r>
            <w:r w:rsidRPr="00423BB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423BBE">
              <w:rPr>
                <w:rFonts w:ascii="Arial" w:hAnsi="Arial" w:cs="Arial"/>
                <w:sz w:val="20"/>
              </w:rPr>
              <w:t>os docume</w:t>
            </w:r>
            <w:r w:rsidRPr="00423BBE">
              <w:rPr>
                <w:rFonts w:ascii="Arial" w:hAnsi="Arial" w:cs="Arial"/>
                <w:sz w:val="20"/>
              </w:rPr>
              <w:t>n</w:t>
            </w:r>
            <w:r w:rsidRPr="00423BBE">
              <w:rPr>
                <w:rFonts w:ascii="Arial" w:hAnsi="Arial" w:cs="Arial"/>
                <w:sz w:val="20"/>
              </w:rPr>
              <w:t>tos</w:t>
            </w:r>
            <w:r w:rsidRPr="00423BBE">
              <w:rPr>
                <w:rFonts w:ascii="Arial" w:hAnsi="Arial"/>
                <w:sz w:val="20"/>
              </w:rPr>
              <w:t xml:space="preserve"> del </w:t>
            </w:r>
            <w:r>
              <w:rPr>
                <w:rFonts w:ascii="Arial" w:hAnsi="Arial"/>
                <w:sz w:val="20"/>
              </w:rPr>
              <w:t xml:space="preserve">Cuarto </w:t>
            </w:r>
            <w:r w:rsidRPr="00423BBE">
              <w:rPr>
                <w:rFonts w:ascii="Arial" w:hAnsi="Arial"/>
                <w:sz w:val="20"/>
              </w:rPr>
              <w:t>Expediente de Créditos Ad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cionales del Presupuesto Municipa</w:t>
            </w:r>
            <w:r>
              <w:rPr>
                <w:rFonts w:ascii="Arial" w:hAnsi="Arial"/>
                <w:sz w:val="20"/>
              </w:rPr>
              <w:t xml:space="preserve">l están expuestos en la oficina </w:t>
            </w:r>
            <w:r>
              <w:rPr>
                <w:rFonts w:ascii="Arial" w:hAnsi="Arial" w:cs="Arial"/>
                <w:sz w:val="20"/>
              </w:rPr>
              <w:t>de Intervención</w:t>
            </w:r>
            <w:r w:rsidRPr="00423BBE">
              <w:rPr>
                <w:rFonts w:ascii="Arial" w:hAnsi="Arial" w:cs="Arial"/>
                <w:sz w:val="20"/>
              </w:rPr>
              <w:t>.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 eta</w:t>
            </w:r>
            <w:r w:rsidRPr="00423BBE">
              <w:rPr>
                <w:rFonts w:ascii="Arial" w:hAnsi="Arial"/>
                <w:sz w:val="20"/>
              </w:rPr>
              <w:t>, inolako 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 aurkeztu ez bada, agiri hori behin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23BBE">
              <w:rPr>
                <w:rFonts w:ascii="Arial" w:hAnsi="Arial"/>
                <w:sz w:val="20"/>
              </w:rPr>
              <w:t>betiko onartutzat hartuko da, erabaki berririk hartu 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 gabe.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ción referido</w:t>
            </w:r>
            <w:r w:rsidRPr="00423BBE">
              <w:rPr>
                <w:rFonts w:ascii="Arial" w:hAnsi="Arial"/>
                <w:sz w:val="20"/>
              </w:rPr>
              <w:t xml:space="preserve"> 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 w:rsidRPr="00423BBE">
              <w:rPr>
                <w:sz w:val="20"/>
              </w:rPr>
              <w:t>Gipuzkoako Lurralde Historikoko Toki Eraku</w:t>
            </w:r>
            <w:r w:rsidRPr="00423BBE">
              <w:rPr>
                <w:sz w:val="20"/>
              </w:rPr>
              <w:t>n</w:t>
            </w:r>
            <w:r w:rsidRPr="00423BBE">
              <w:rPr>
                <w:sz w:val="20"/>
              </w:rPr>
              <w:t>deen aurrekontuei buruzko abenduaren 19ko 21/2003 Foru Araua</w:t>
            </w:r>
            <w:r>
              <w:rPr>
                <w:sz w:val="20"/>
              </w:rPr>
              <w:t>ren</w:t>
            </w:r>
            <w:r w:rsidRPr="00423BBE">
              <w:rPr>
                <w:sz w:val="20"/>
              </w:rPr>
              <w:t xml:space="preserve"> 15</w:t>
            </w:r>
            <w:r>
              <w:rPr>
                <w:sz w:val="20"/>
              </w:rPr>
              <w:t xml:space="preserve">., </w:t>
            </w:r>
            <w:r w:rsidRPr="00423BBE">
              <w:rPr>
                <w:sz w:val="20"/>
              </w:rPr>
              <w:t>17</w:t>
            </w:r>
            <w:r>
              <w:rPr>
                <w:sz w:val="20"/>
              </w:rPr>
              <w:t>.</w:t>
            </w:r>
            <w:r w:rsidRPr="00423BBE">
              <w:rPr>
                <w:sz w:val="20"/>
              </w:rPr>
              <w:t xml:space="preserve"> </w:t>
            </w:r>
            <w:proofErr w:type="gramStart"/>
            <w:r w:rsidRPr="00423BBE">
              <w:rPr>
                <w:sz w:val="20"/>
              </w:rPr>
              <w:t>eta</w:t>
            </w:r>
            <w:proofErr w:type="gramEnd"/>
            <w:r w:rsidRPr="00423BBE">
              <w:rPr>
                <w:sz w:val="20"/>
              </w:rPr>
              <w:t xml:space="preserve"> 18.</w:t>
            </w:r>
            <w:r>
              <w:rPr>
                <w:sz w:val="20"/>
              </w:rPr>
              <w:t xml:space="preserve"> </w:t>
            </w:r>
            <w:proofErr w:type="gramStart"/>
            <w:r w:rsidRPr="00423BBE">
              <w:rPr>
                <w:sz w:val="20"/>
              </w:rPr>
              <w:t>artikuluetan</w:t>
            </w:r>
            <w:proofErr w:type="gramEnd"/>
            <w:r w:rsidRPr="00423BBE">
              <w:rPr>
                <w:sz w:val="20"/>
              </w:rPr>
              <w:t xml:space="preserve"> ezarritakoa bete aldera</w:t>
            </w:r>
            <w:r>
              <w:rPr>
                <w:sz w:val="20"/>
              </w:rPr>
              <w:t>,</w:t>
            </w:r>
            <w:r w:rsidRPr="00423BBE">
              <w:rPr>
                <w:sz w:val="20"/>
              </w:rPr>
              <w:t xml:space="preserve"> ezagutzera ematen zaio</w:t>
            </w:r>
            <w:r>
              <w:rPr>
                <w:sz w:val="20"/>
              </w:rPr>
              <w:t xml:space="preserve"> </w:t>
            </w:r>
            <w:r w:rsidRPr="00423BBE">
              <w:rPr>
                <w:sz w:val="20"/>
              </w:rPr>
              <w:t>jendeari</w:t>
            </w:r>
            <w:r>
              <w:rPr>
                <w:sz w:val="20"/>
              </w:rPr>
              <w:t>.</w:t>
            </w: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torio Histórico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koa.</w:t>
            </w:r>
          </w:p>
        </w:tc>
      </w:tr>
      <w:tr w:rsidR="00A06E62" w:rsidRPr="00423BBE" w:rsidTr="00D970B6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A06E62" w:rsidRPr="00423BBE" w:rsidRDefault="00A06E62" w:rsidP="00D970B6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A06E62" w:rsidRPr="00423BBE" w:rsidRDefault="00A06E62" w:rsidP="00D970B6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A06E62" w:rsidRDefault="00A06E62" w:rsidP="00A06E62">
      <w:pPr>
        <w:jc w:val="both"/>
        <w:rPr>
          <w:rFonts w:ascii="Arial" w:hAnsi="Arial" w:cs="Arial"/>
          <w:sz w:val="22"/>
          <w:szCs w:val="22"/>
        </w:rPr>
      </w:pPr>
    </w:p>
    <w:p w:rsidR="00A06E62" w:rsidRDefault="00A06E62" w:rsidP="00A06E62">
      <w:pPr>
        <w:jc w:val="both"/>
        <w:rPr>
          <w:rFonts w:ascii="Arial" w:hAnsi="Arial" w:cs="Arial"/>
          <w:sz w:val="22"/>
          <w:szCs w:val="22"/>
        </w:rPr>
      </w:pPr>
    </w:p>
    <w:p w:rsidR="00A06E62" w:rsidRPr="000B209C" w:rsidRDefault="00A06E62" w:rsidP="00A06E62">
      <w:pPr>
        <w:rPr>
          <w:rFonts w:ascii="Arial" w:hAnsi="Arial"/>
          <w:sz w:val="20"/>
        </w:rPr>
      </w:pPr>
      <w:r w:rsidRPr="00106F80">
        <w:rPr>
          <w:color w:val="FF0000"/>
        </w:rPr>
        <w:br w:type="page"/>
      </w: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lastRenderedPageBreak/>
              <w:t>EIBARKO UDALA</w:t>
            </w: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Iragarkia</w:t>
            </w: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Udal Aurrekontuaren Kreditu Gehigarrien </w:t>
            </w:r>
            <w:r>
              <w:rPr>
                <w:rFonts w:ascii="Arial" w:hAnsi="Arial"/>
                <w:sz w:val="22"/>
              </w:rPr>
              <w:t xml:space="preserve">Laugarren </w:t>
            </w:r>
            <w:r w:rsidRPr="000B209C">
              <w:rPr>
                <w:rFonts w:ascii="Arial" w:hAnsi="Arial"/>
                <w:sz w:val="22"/>
              </w:rPr>
              <w:t>espedientea jendaurrean egon den epean ez denez erreklamazio edo oharpenik egin, espediente hori behin 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 onarturik gelditu da kapituluka 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 emango den laburpenaren arabera.</w:t>
            </w: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mentario de información pública del </w:t>
            </w:r>
            <w:r>
              <w:rPr>
                <w:rFonts w:ascii="Arial" w:hAnsi="Arial"/>
                <w:sz w:val="22"/>
              </w:rPr>
              <w:t xml:space="preserve">Cuarto </w:t>
            </w:r>
            <w:r w:rsidRPr="000B209C">
              <w:rPr>
                <w:rFonts w:ascii="Arial" w:hAnsi="Arial"/>
                <w:sz w:val="22"/>
              </w:rPr>
              <w:t>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A06E62" w:rsidRPr="000B209C" w:rsidRDefault="00A06E62" w:rsidP="00A06E62"/>
    <w:p w:rsidR="00A06E62" w:rsidRDefault="00A06E62" w:rsidP="00A06E62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LABURPENA KAPITULUKA / RESUMEN POR CAPITULOS</w:t>
      </w:r>
    </w:p>
    <w:p w:rsidR="00A06E6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527F31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3773D3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371C54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371C54">
              <w:rPr>
                <w:rFonts w:ascii="Arial" w:hAnsi="Arial" w:cs="Arial"/>
                <w:sz w:val="20"/>
                <w:u w:val="single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Transferenc.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803EFC">
              <w:rPr>
                <w:rFonts w:ascii="Arial" w:hAnsi="Arial" w:cs="Arial"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D90C72" w:rsidRDefault="00A06E62" w:rsidP="00D970B6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A06E62" w:rsidRPr="006A61DE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44.080,00</w:t>
            </w:r>
          </w:p>
        </w:tc>
      </w:tr>
      <w:tr w:rsidR="00A06E62" w:rsidRPr="00D90C72" w:rsidTr="00D970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A06E62" w:rsidRPr="00D90C72" w:rsidRDefault="00A06E62" w:rsidP="00D970B6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A06E62" w:rsidRPr="00D90C72" w:rsidRDefault="00A06E62" w:rsidP="00D970B6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</w:p>
    <w:p w:rsidR="00A06E62" w:rsidRPr="00D90C72" w:rsidRDefault="00A06E62" w:rsidP="00A06E62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 19ko 21/2003 Foru Araua</w:t>
            </w:r>
            <w:r>
              <w:rPr>
                <w:rFonts w:ascii="Arial" w:hAnsi="Arial"/>
                <w:sz w:val="22"/>
              </w:rPr>
              <w:t>ren</w:t>
            </w:r>
            <w:r w:rsidRPr="000B209C">
              <w:rPr>
                <w:rFonts w:ascii="Arial" w:hAnsi="Arial"/>
                <w:sz w:val="22"/>
              </w:rPr>
              <w:t xml:space="preserve"> 15</w:t>
            </w:r>
            <w:r>
              <w:rPr>
                <w:rFonts w:ascii="Arial" w:hAnsi="Arial"/>
                <w:sz w:val="22"/>
              </w:rPr>
              <w:t xml:space="preserve">., </w:t>
            </w:r>
            <w:r w:rsidRPr="000B209C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>.</w:t>
            </w:r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0B209C">
              <w:rPr>
                <w:rFonts w:ascii="Arial" w:hAnsi="Arial"/>
                <w:sz w:val="22"/>
              </w:rPr>
              <w:t>eta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18. </w:t>
            </w:r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ezarritakoa bete</w:t>
            </w:r>
            <w:r>
              <w:rPr>
                <w:rFonts w:ascii="Arial" w:hAnsi="Arial"/>
                <w:sz w:val="22"/>
              </w:rPr>
              <w:t xml:space="preserve"> aldera ezagutzera </w:t>
            </w:r>
            <w:r w:rsidRPr="000B209C">
              <w:rPr>
                <w:rFonts w:ascii="Arial" w:hAnsi="Arial"/>
                <w:sz w:val="22"/>
              </w:rPr>
              <w:t xml:space="preserve">ematen </w:t>
            </w:r>
            <w:r>
              <w:rPr>
                <w:rFonts w:ascii="Arial" w:hAnsi="Arial"/>
                <w:sz w:val="22"/>
              </w:rPr>
              <w:t>zaio jendeari</w:t>
            </w:r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</w:t>
            </w:r>
            <w:r>
              <w:rPr>
                <w:rFonts w:ascii="Arial" w:hAnsi="Arial"/>
                <w:sz w:val="22"/>
              </w:rPr>
              <w:t>0</w:t>
            </w:r>
            <w:r w:rsidRPr="000B209C">
              <w:rPr>
                <w:rFonts w:ascii="Arial" w:hAnsi="Arial"/>
                <w:sz w:val="22"/>
              </w:rPr>
              <w:t>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A06E62" w:rsidRPr="000B209C" w:rsidTr="00D970B6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A06E62" w:rsidRPr="000B209C" w:rsidRDefault="00A06E62" w:rsidP="00D970B6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A06E62" w:rsidRPr="00D90C72" w:rsidRDefault="00A06E62" w:rsidP="00A06E62">
      <w:pPr>
        <w:rPr>
          <w:rFonts w:ascii="Arial" w:hAnsi="Arial" w:cs="Arial"/>
          <w:sz w:val="20"/>
        </w:rPr>
      </w:pPr>
      <w:bookmarkStart w:id="0" w:name="_GoBack"/>
      <w:bookmarkEnd w:id="0"/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8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62" w:rsidRDefault="00A06E62" w:rsidP="006574BD">
      <w:r>
        <w:separator/>
      </w:r>
    </w:p>
  </w:endnote>
  <w:endnote w:type="continuationSeparator" w:id="0">
    <w:p w:rsidR="00A06E62" w:rsidRDefault="00A06E62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62" w:rsidRPr="007947C0" w:rsidRDefault="00A06E62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Documento1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cs="Arial"/>
        <w:sz w:val="8"/>
        <w:szCs w:val="8"/>
      </w:rPr>
    </w:pPr>
    <w:r w:rsidRPr="006574BD">
      <w:rPr>
        <w:rFonts w:cs="Arial"/>
        <w:sz w:val="8"/>
        <w:szCs w:val="8"/>
      </w:rPr>
      <w:fldChar w:fldCharType="begin"/>
    </w:r>
    <w:r w:rsidRPr="006574BD">
      <w:rPr>
        <w:rFonts w:cs="Arial"/>
        <w:sz w:val="8"/>
        <w:szCs w:val="8"/>
      </w:rPr>
      <w:instrText xml:space="preserve"> FILENAME \p \* MERGEFORMAT </w:instrText>
    </w:r>
    <w:r w:rsidRPr="006574BD">
      <w:rPr>
        <w:rFonts w:cs="Arial"/>
        <w:sz w:val="8"/>
        <w:szCs w:val="8"/>
      </w:rPr>
      <w:fldChar w:fldCharType="separate"/>
    </w:r>
    <w:r w:rsidR="00A06E62">
      <w:rPr>
        <w:rFonts w:cs="Arial"/>
        <w:noProof/>
        <w:sz w:val="8"/>
        <w:szCs w:val="8"/>
      </w:rPr>
      <w:t>Documento1</w:t>
    </w:r>
    <w:r w:rsidRPr="006574BD"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62" w:rsidRDefault="00A06E62" w:rsidP="006574BD">
      <w:r>
        <w:separator/>
      </w:r>
    </w:p>
  </w:footnote>
  <w:footnote w:type="continuationSeparator" w:id="0">
    <w:p w:rsidR="00A06E62" w:rsidRDefault="00A06E62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62"/>
    <w:rsid w:val="00047DEE"/>
    <w:rsid w:val="000928A9"/>
    <w:rsid w:val="000D023D"/>
    <w:rsid w:val="000D47BD"/>
    <w:rsid w:val="000E2C1F"/>
    <w:rsid w:val="00147869"/>
    <w:rsid w:val="0017689D"/>
    <w:rsid w:val="00226596"/>
    <w:rsid w:val="002325BE"/>
    <w:rsid w:val="002A34B5"/>
    <w:rsid w:val="002A76F2"/>
    <w:rsid w:val="002C7B7E"/>
    <w:rsid w:val="003A078B"/>
    <w:rsid w:val="003A7753"/>
    <w:rsid w:val="003F2F0F"/>
    <w:rsid w:val="006208EC"/>
    <w:rsid w:val="00650DBB"/>
    <w:rsid w:val="006574BD"/>
    <w:rsid w:val="006632F0"/>
    <w:rsid w:val="006D2297"/>
    <w:rsid w:val="00700094"/>
    <w:rsid w:val="0074168C"/>
    <w:rsid w:val="00787F44"/>
    <w:rsid w:val="0080121C"/>
    <w:rsid w:val="00863D55"/>
    <w:rsid w:val="008C4A8D"/>
    <w:rsid w:val="00957AE5"/>
    <w:rsid w:val="009E2228"/>
    <w:rsid w:val="00A04B84"/>
    <w:rsid w:val="00A06E62"/>
    <w:rsid w:val="00A40836"/>
    <w:rsid w:val="00B37B19"/>
    <w:rsid w:val="00BF3461"/>
    <w:rsid w:val="00C01BB0"/>
    <w:rsid w:val="00C41668"/>
    <w:rsid w:val="00C648BE"/>
    <w:rsid w:val="00C764CE"/>
    <w:rsid w:val="00CB6D03"/>
    <w:rsid w:val="00D018E7"/>
    <w:rsid w:val="00D1420A"/>
    <w:rsid w:val="00D22B7D"/>
    <w:rsid w:val="00EC79D9"/>
    <w:rsid w:val="00F904FE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1DF7-A87B-4ECF-BFFA-5944CA1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E62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A06E62"/>
    <w:pPr>
      <w:keepNext/>
      <w:jc w:val="center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06E62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06E62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A06E62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06E62"/>
    <w:rPr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A06E62"/>
    <w:rPr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06E62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A06E62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0EC7-6503-470E-827A-107BB4E9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174E34B0.dotm</Template>
  <TotalTime>33</TotalTime>
  <Pages>7</Pages>
  <Words>1223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    I. DIRUAREN NONDIK NORAKOA/ PROCEDENCIA DE LOS FONDOS</vt:lpstr>
      <vt:lpstr>    II. KREDITUEN GEHIKUNTZA / CREDITOS EN AUMENTO</vt:lpstr>
      <vt:lpstr>        I. DIRUAREN NONDIK NORAKOA/ PROCEDENCIA DE LOS FONDOS</vt:lpstr>
      <vt:lpstr>    II. KREDITUEN GEHIKUNTZA / CREDITOS EN AUMENTO</vt:lpstr>
      <vt:lpstr>        I. DIRUAREN NONDIK NORAKOA/ PROCEDENCIA DE LOS FONDOS</vt:lpstr>
      <vt:lpstr>    II. KREDITUEN GEHIKUNTZA / CREDITOS EN AUMENTO</vt:lpstr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2016-11-22T08:55:00Z</dcterms:created>
  <dcterms:modified xsi:type="dcterms:W3CDTF">2016-11-22T09:28:00Z</dcterms:modified>
</cp:coreProperties>
</file>